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23" w:rsidRPr="000E0AB0" w:rsidRDefault="00D91323" w:rsidP="00D91323">
      <w:pPr>
        <w:pStyle w:val="a3"/>
        <w:spacing w:after="120"/>
        <w:contextualSpacing/>
        <w:rPr>
          <w:rFonts w:ascii="Times New Roman" w:hAnsi="Times New Roman"/>
          <w:bCs w:val="0"/>
          <w:sz w:val="24"/>
          <w:szCs w:val="24"/>
          <w:lang w:val="uz-Cyrl-UZ"/>
        </w:rPr>
      </w:pPr>
      <w:r w:rsidRPr="000E0AB0">
        <w:rPr>
          <w:rFonts w:ascii="Times New Roman" w:hAnsi="Times New Roman"/>
          <w:bCs w:val="0"/>
          <w:sz w:val="24"/>
          <w:szCs w:val="24"/>
          <w:lang w:val="uz-Cyrl-UZ"/>
        </w:rPr>
        <w:t>2019 йил январь-</w:t>
      </w:r>
      <w:r>
        <w:rPr>
          <w:rFonts w:ascii="Times New Roman" w:hAnsi="Times New Roman"/>
          <w:bCs w:val="0"/>
          <w:sz w:val="24"/>
          <w:szCs w:val="24"/>
          <w:lang w:val="uz-Cyrl-UZ"/>
        </w:rPr>
        <w:t>сентябр</w:t>
      </w:r>
      <w:r w:rsidRPr="000E0AB0">
        <w:rPr>
          <w:rFonts w:ascii="Times New Roman" w:hAnsi="Times New Roman"/>
          <w:bCs w:val="0"/>
          <w:sz w:val="24"/>
          <w:szCs w:val="24"/>
          <w:lang w:val="uz-Cyrl-UZ"/>
        </w:rPr>
        <w:t>да вилоят ташқи савдо айланмасида МДҲ</w:t>
      </w:r>
      <w:r w:rsidRPr="000E0AB0">
        <w:rPr>
          <w:rFonts w:ascii="Times New Roman" w:hAnsi="Times New Roman"/>
          <w:bCs w:val="0"/>
          <w:sz w:val="24"/>
          <w:szCs w:val="24"/>
          <w:lang w:val="uz-Cyrl-UZ"/>
        </w:rPr>
        <w:br/>
        <w:t>ва бошқа давлатларнинг улуши</w:t>
      </w:r>
    </w:p>
    <w:p w:rsidR="00D91323" w:rsidRPr="000E0AB0" w:rsidRDefault="00D91323" w:rsidP="00D91323">
      <w:pPr>
        <w:spacing w:after="120"/>
        <w:contextualSpacing/>
        <w:jc w:val="right"/>
        <w:rPr>
          <w:bCs/>
          <w:sz w:val="24"/>
          <w:szCs w:val="24"/>
          <w:lang w:val="uz-Cyrl-UZ"/>
        </w:rPr>
      </w:pPr>
      <w:r w:rsidRPr="000E0AB0">
        <w:rPr>
          <w:bCs/>
          <w:i/>
          <w:sz w:val="24"/>
          <w:szCs w:val="24"/>
          <w:lang w:val="uz-Cyrl-UZ"/>
        </w:rPr>
        <w:t>(фоиз  ҳисобида)</w:t>
      </w:r>
    </w:p>
    <w:p w:rsidR="00D91323" w:rsidRPr="000E0AB0" w:rsidRDefault="00D91323" w:rsidP="00D91323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20FB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47907" cy="41148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1323" w:rsidRPr="000E0AB0" w:rsidRDefault="00D91323" w:rsidP="00D91323">
      <w:pPr>
        <w:ind w:firstLine="567"/>
        <w:jc w:val="center"/>
        <w:rPr>
          <w:b/>
          <w:sz w:val="2"/>
          <w:szCs w:val="24"/>
          <w:lang w:val="uz-Cyrl-UZ"/>
        </w:rPr>
      </w:pPr>
    </w:p>
    <w:p w:rsidR="00D91323" w:rsidRPr="000E0AB0" w:rsidRDefault="00D91323" w:rsidP="00D91323">
      <w:pPr>
        <w:ind w:firstLine="567"/>
        <w:jc w:val="center"/>
        <w:rPr>
          <w:b/>
          <w:sz w:val="2"/>
          <w:szCs w:val="24"/>
          <w:lang w:val="uz-Cyrl-UZ"/>
        </w:rPr>
      </w:pPr>
    </w:p>
    <w:p w:rsidR="00D91323" w:rsidRPr="000E0AB0" w:rsidRDefault="00D91323" w:rsidP="00D91323">
      <w:pPr>
        <w:ind w:firstLine="567"/>
        <w:jc w:val="center"/>
        <w:rPr>
          <w:b/>
          <w:sz w:val="2"/>
          <w:szCs w:val="24"/>
          <w:lang w:val="uz-Cyrl-UZ"/>
        </w:rPr>
      </w:pPr>
    </w:p>
    <w:p w:rsidR="00D91323" w:rsidRPr="000E0AB0" w:rsidRDefault="00D91323" w:rsidP="00D91323">
      <w:pPr>
        <w:ind w:firstLine="567"/>
        <w:jc w:val="center"/>
        <w:rPr>
          <w:b/>
          <w:sz w:val="2"/>
          <w:szCs w:val="24"/>
          <w:lang w:val="uz-Cyrl-UZ"/>
        </w:rPr>
      </w:pPr>
    </w:p>
    <w:p w:rsidR="00D91323" w:rsidRPr="000E0AB0" w:rsidRDefault="00D91323" w:rsidP="00D91323">
      <w:pPr>
        <w:ind w:firstLine="567"/>
        <w:jc w:val="center"/>
        <w:rPr>
          <w:b/>
          <w:sz w:val="6"/>
          <w:szCs w:val="24"/>
          <w:lang w:val="uz-Cyrl-UZ"/>
        </w:rPr>
      </w:pPr>
    </w:p>
    <w:p w:rsidR="00D91323" w:rsidRPr="000E0AB0" w:rsidRDefault="00D91323" w:rsidP="00D91323">
      <w:pPr>
        <w:ind w:firstLine="567"/>
        <w:jc w:val="center"/>
        <w:rPr>
          <w:b/>
          <w:sz w:val="24"/>
          <w:szCs w:val="24"/>
          <w:lang w:val="uz-Cyrl-UZ"/>
        </w:rPr>
      </w:pPr>
      <w:r w:rsidRPr="000E0AB0">
        <w:rPr>
          <w:b/>
          <w:sz w:val="24"/>
          <w:szCs w:val="24"/>
          <w:lang w:val="uz-Cyrl-UZ"/>
        </w:rPr>
        <w:t>2019 йилнинг январь-</w:t>
      </w:r>
      <w:r>
        <w:rPr>
          <w:b/>
          <w:sz w:val="24"/>
          <w:szCs w:val="24"/>
          <w:lang w:val="uz-Cyrl-UZ"/>
        </w:rPr>
        <w:t>сентябр</w:t>
      </w:r>
      <w:r w:rsidRPr="000E0AB0">
        <w:rPr>
          <w:b/>
          <w:sz w:val="24"/>
          <w:szCs w:val="24"/>
          <w:lang w:val="uz-Cyrl-UZ"/>
        </w:rPr>
        <w:t>ида вилоят экспорт-импорти таркиби</w:t>
      </w:r>
    </w:p>
    <w:p w:rsidR="00D91323" w:rsidRPr="000E0AB0" w:rsidRDefault="00D91323" w:rsidP="00D91323">
      <w:pPr>
        <w:ind w:firstLine="567"/>
        <w:jc w:val="both"/>
        <w:rPr>
          <w:b/>
          <w:sz w:val="16"/>
          <w:szCs w:val="16"/>
          <w:lang w:val="uz-Cyrl-UZ"/>
        </w:rPr>
      </w:pPr>
    </w:p>
    <w:p w:rsidR="00D91323" w:rsidRPr="000E0AB0" w:rsidRDefault="00D91323" w:rsidP="00D91323">
      <w:pPr>
        <w:ind w:firstLine="567"/>
        <w:jc w:val="both"/>
        <w:rPr>
          <w:sz w:val="8"/>
          <w:szCs w:val="18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1830"/>
        <w:gridCol w:w="1526"/>
        <w:gridCol w:w="2441"/>
      </w:tblGrid>
      <w:tr w:rsidR="00D91323" w:rsidRPr="000E0AB0" w:rsidTr="00930FCF">
        <w:trPr>
          <w:cantSplit/>
          <w:trHeight w:val="872"/>
          <w:tblHeader/>
        </w:trPr>
        <w:tc>
          <w:tcPr>
            <w:tcW w:w="1972" w:type="pct"/>
            <w:vMerge w:val="restart"/>
            <w:shd w:val="clear" w:color="auto" w:fill="auto"/>
            <w:vAlign w:val="center"/>
          </w:tcPr>
          <w:p w:rsidR="00D91323" w:rsidRPr="000E0AB0" w:rsidRDefault="00D91323" w:rsidP="002D306D">
            <w:pPr>
              <w:pStyle w:val="a3"/>
              <w:spacing w:before="120" w:after="120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bookmarkStart w:id="0" w:name="_GoBack"/>
          </w:p>
        </w:tc>
        <w:tc>
          <w:tcPr>
            <w:tcW w:w="1753" w:type="pct"/>
            <w:gridSpan w:val="2"/>
            <w:shd w:val="clear" w:color="auto" w:fill="auto"/>
            <w:vAlign w:val="center"/>
          </w:tcPr>
          <w:p w:rsidR="00D91323" w:rsidRPr="000E0AB0" w:rsidRDefault="00D91323" w:rsidP="002D306D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</w:pP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Экспорт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ва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импортнинг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умумий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ҳажмидаги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br/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улуши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фоиз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ҳисобида</w:t>
            </w:r>
            <w:proofErr w:type="spellEnd"/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0E0AB0" w:rsidRDefault="00D91323" w:rsidP="002D306D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>Ҳажмидаги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>ўзгариш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>фоиз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>ҳисобида</w:t>
            </w:r>
            <w:proofErr w:type="spellEnd"/>
          </w:p>
        </w:tc>
      </w:tr>
      <w:tr w:rsidR="00D91323" w:rsidRPr="000E0AB0" w:rsidTr="00930FCF">
        <w:trPr>
          <w:cantSplit/>
          <w:trHeight w:val="1058"/>
          <w:tblHeader/>
        </w:trPr>
        <w:tc>
          <w:tcPr>
            <w:tcW w:w="1972" w:type="pct"/>
            <w:vMerge/>
            <w:shd w:val="clear" w:color="auto" w:fill="auto"/>
            <w:vAlign w:val="center"/>
          </w:tcPr>
          <w:p w:rsidR="00D91323" w:rsidRPr="000E0AB0" w:rsidRDefault="00D91323" w:rsidP="002D306D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0E0AB0" w:rsidRDefault="00D91323" w:rsidP="002D306D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</w:pP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201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8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йил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январь-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сентябрь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0E0AB0" w:rsidRDefault="00D91323" w:rsidP="002D306D">
            <w:pPr>
              <w:pStyle w:val="a3"/>
              <w:spacing w:before="120" w:after="120"/>
              <w:ind w:left="-57" w:right="-57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</w:pP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201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9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йил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январь-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сентябрь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0E0AB0" w:rsidRDefault="00D91323" w:rsidP="002D306D">
            <w:pPr>
              <w:pStyle w:val="a3"/>
              <w:spacing w:before="120" w:after="120"/>
              <w:ind w:left="-108" w:right="-108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</w:pP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201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8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йил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br/>
              <w:t>январь-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сентябр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га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br/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фоиз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ҳисобида</w:t>
            </w:r>
            <w:proofErr w:type="spellEnd"/>
          </w:p>
        </w:tc>
      </w:tr>
      <w:tr w:rsidR="00D91323" w:rsidRPr="000E0AB0" w:rsidTr="00930FCF">
        <w:trPr>
          <w:cantSplit/>
          <w:trHeight w:val="122"/>
          <w:tblHeader/>
        </w:trPr>
        <w:tc>
          <w:tcPr>
            <w:tcW w:w="1972" w:type="pct"/>
            <w:shd w:val="clear" w:color="auto" w:fill="auto"/>
          </w:tcPr>
          <w:p w:rsidR="00D91323" w:rsidRPr="000E0AB0" w:rsidRDefault="00D91323" w:rsidP="002D306D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6"/>
                <w:szCs w:val="10"/>
              </w:rPr>
            </w:pPr>
          </w:p>
        </w:tc>
        <w:tc>
          <w:tcPr>
            <w:tcW w:w="956" w:type="pct"/>
            <w:shd w:val="clear" w:color="auto" w:fill="auto"/>
          </w:tcPr>
          <w:p w:rsidR="00D91323" w:rsidRPr="000E0AB0" w:rsidRDefault="00D91323" w:rsidP="002D306D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10"/>
                <w:szCs w:val="10"/>
              </w:rPr>
            </w:pPr>
          </w:p>
        </w:tc>
        <w:tc>
          <w:tcPr>
            <w:tcW w:w="797" w:type="pct"/>
            <w:shd w:val="clear" w:color="auto" w:fill="auto"/>
          </w:tcPr>
          <w:p w:rsidR="00D91323" w:rsidRPr="000E0AB0" w:rsidRDefault="00D91323" w:rsidP="002D306D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10"/>
                <w:szCs w:val="10"/>
              </w:rPr>
            </w:pPr>
          </w:p>
        </w:tc>
        <w:tc>
          <w:tcPr>
            <w:tcW w:w="1275" w:type="pct"/>
            <w:shd w:val="clear" w:color="auto" w:fill="auto"/>
          </w:tcPr>
          <w:p w:rsidR="00D91323" w:rsidRPr="000E0AB0" w:rsidRDefault="00D91323" w:rsidP="002D306D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10"/>
                <w:szCs w:val="10"/>
              </w:rPr>
            </w:pPr>
          </w:p>
        </w:tc>
      </w:tr>
      <w:tr w:rsidR="00D91323" w:rsidRPr="000E0AB0" w:rsidTr="00930FCF">
        <w:trPr>
          <w:cantSplit/>
          <w:trHeight w:val="431"/>
        </w:trPr>
        <w:tc>
          <w:tcPr>
            <w:tcW w:w="1972" w:type="pct"/>
            <w:shd w:val="clear" w:color="auto" w:fill="auto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 xml:space="preserve">Экспорт </w:t>
            </w:r>
            <w:proofErr w:type="spellStart"/>
            <w:r w:rsidRPr="000E0AB0">
              <w:rPr>
                <w:b/>
                <w:sz w:val="24"/>
                <w:szCs w:val="24"/>
              </w:rPr>
              <w:t>таркиби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97" w:type="pct"/>
            <w:shd w:val="clear" w:color="auto" w:fill="auto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pct"/>
            <w:shd w:val="clear" w:color="auto" w:fill="auto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135,6</w:t>
            </w:r>
          </w:p>
        </w:tc>
      </w:tr>
      <w:tr w:rsidR="00D91323" w:rsidRPr="000E0AB0" w:rsidTr="00930FCF">
        <w:trPr>
          <w:cantSplit/>
          <w:trHeight w:val="768"/>
        </w:trPr>
        <w:tc>
          <w:tcPr>
            <w:tcW w:w="1972" w:type="pct"/>
            <w:shd w:val="clear" w:color="auto" w:fill="auto"/>
            <w:vAlign w:val="center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пахта толаси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0,0</w:t>
            </w:r>
          </w:p>
        </w:tc>
      </w:tr>
      <w:tr w:rsidR="00D91323" w:rsidRPr="000E0AB0" w:rsidTr="00930FCF">
        <w:trPr>
          <w:cantSplit/>
          <w:trHeight w:val="539"/>
        </w:trPr>
        <w:tc>
          <w:tcPr>
            <w:tcW w:w="1972" w:type="pct"/>
            <w:shd w:val="clear" w:color="auto" w:fill="auto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/>
              <w:rPr>
                <w:sz w:val="24"/>
                <w:szCs w:val="24"/>
              </w:rPr>
            </w:pPr>
            <w:proofErr w:type="gramStart"/>
            <w:r w:rsidRPr="000E0AB0">
              <w:rPr>
                <w:sz w:val="24"/>
                <w:szCs w:val="24"/>
              </w:rPr>
              <w:t>озиқ</w:t>
            </w:r>
            <w:proofErr w:type="gramEnd"/>
            <w:r w:rsidRPr="000E0AB0">
              <w:rPr>
                <w:sz w:val="24"/>
                <w:szCs w:val="24"/>
              </w:rPr>
              <w:t>-овқат маҳсулотлари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48,1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147,4</w:t>
            </w:r>
          </w:p>
        </w:tc>
      </w:tr>
      <w:tr w:rsidR="00D91323" w:rsidRPr="000E0AB0" w:rsidTr="00930FCF">
        <w:trPr>
          <w:cantSplit/>
          <w:trHeight w:val="699"/>
        </w:trPr>
        <w:tc>
          <w:tcPr>
            <w:tcW w:w="1972" w:type="pct"/>
            <w:shd w:val="clear" w:color="auto" w:fill="auto"/>
            <w:vAlign w:val="bottom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кимё маҳсулотлари ва ундан тайёрланган буюмлар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140,9</w:t>
            </w:r>
          </w:p>
        </w:tc>
      </w:tr>
      <w:tr w:rsidR="00D91323" w:rsidRPr="000E0AB0" w:rsidTr="00930FCF">
        <w:trPr>
          <w:cantSplit/>
          <w:trHeight w:val="699"/>
        </w:trPr>
        <w:tc>
          <w:tcPr>
            <w:tcW w:w="1972" w:type="pct"/>
            <w:shd w:val="clear" w:color="auto" w:fill="auto"/>
            <w:vAlign w:val="center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/>
              <w:rPr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sz w:val="24"/>
                <w:szCs w:val="24"/>
              </w:rPr>
              <w:t>қора</w:t>
            </w:r>
            <w:proofErr w:type="spellEnd"/>
            <w:proofErr w:type="gram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рангли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металлар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86,6</w:t>
            </w:r>
          </w:p>
        </w:tc>
      </w:tr>
      <w:tr w:rsidR="00D91323" w:rsidRPr="000E0AB0" w:rsidTr="00930FCF">
        <w:trPr>
          <w:cantSplit/>
          <w:trHeight w:val="693"/>
        </w:trPr>
        <w:tc>
          <w:tcPr>
            <w:tcW w:w="1972" w:type="pct"/>
            <w:shd w:val="clear" w:color="auto" w:fill="auto"/>
            <w:vAlign w:val="center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lastRenderedPageBreak/>
              <w:t>машина ва ускуналар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8,2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7,6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125,0</w:t>
            </w:r>
          </w:p>
        </w:tc>
      </w:tr>
      <w:tr w:rsidR="00D91323" w:rsidRPr="000E0AB0" w:rsidTr="00930FCF">
        <w:trPr>
          <w:cantSplit/>
          <w:trHeight w:val="406"/>
        </w:trPr>
        <w:tc>
          <w:tcPr>
            <w:tcW w:w="1972" w:type="pct"/>
            <w:shd w:val="clear" w:color="auto" w:fill="auto"/>
            <w:vAlign w:val="bottom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энергия манбалари ва нефт маҳсулотлари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996,9 м.</w:t>
            </w:r>
          </w:p>
        </w:tc>
      </w:tr>
      <w:tr w:rsidR="00D91323" w:rsidRPr="000E0AB0" w:rsidTr="00930FCF">
        <w:trPr>
          <w:cantSplit/>
          <w:trHeight w:val="371"/>
        </w:trPr>
        <w:tc>
          <w:tcPr>
            <w:tcW w:w="1972" w:type="pct"/>
            <w:shd w:val="clear" w:color="auto" w:fill="auto"/>
            <w:vAlign w:val="center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12,8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93,1</w:t>
            </w:r>
          </w:p>
        </w:tc>
      </w:tr>
      <w:tr w:rsidR="00D91323" w:rsidRPr="000E0AB0" w:rsidTr="00930FCF">
        <w:trPr>
          <w:cantSplit/>
          <w:trHeight w:val="609"/>
        </w:trPr>
        <w:tc>
          <w:tcPr>
            <w:tcW w:w="1972" w:type="pct"/>
            <w:shd w:val="clear" w:color="auto" w:fill="auto"/>
            <w:vAlign w:val="bottom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бошқалар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118,6</w:t>
            </w:r>
          </w:p>
        </w:tc>
      </w:tr>
      <w:tr w:rsidR="00D91323" w:rsidRPr="000E0AB0" w:rsidTr="00930FCF">
        <w:trPr>
          <w:cantSplit/>
          <w:trHeight w:val="487"/>
        </w:trPr>
        <w:tc>
          <w:tcPr>
            <w:tcW w:w="1972" w:type="pct"/>
            <w:shd w:val="clear" w:color="auto" w:fill="auto"/>
            <w:vAlign w:val="bottom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 xml:space="preserve">Импорт </w:t>
            </w:r>
            <w:proofErr w:type="spellStart"/>
            <w:r w:rsidRPr="000E0AB0">
              <w:rPr>
                <w:b/>
                <w:sz w:val="24"/>
                <w:szCs w:val="24"/>
              </w:rPr>
              <w:t>таркиби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0E0AB0" w:rsidRDefault="00D91323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0E0AB0" w:rsidRDefault="00D91323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0E0AB0" w:rsidRDefault="00D91323" w:rsidP="002D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117,0</w:t>
            </w:r>
          </w:p>
        </w:tc>
      </w:tr>
      <w:tr w:rsidR="00D91323" w:rsidRPr="000E0AB0" w:rsidTr="00930FCF">
        <w:trPr>
          <w:cantSplit/>
          <w:trHeight w:val="156"/>
        </w:trPr>
        <w:tc>
          <w:tcPr>
            <w:tcW w:w="1972" w:type="pct"/>
            <w:shd w:val="clear" w:color="auto" w:fill="auto"/>
            <w:vAlign w:val="bottom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озиқ-овқат маҳсулотлари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14,7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10,7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85,1</w:t>
            </w:r>
          </w:p>
        </w:tc>
      </w:tr>
      <w:tr w:rsidR="00D91323" w:rsidRPr="000E0AB0" w:rsidTr="00930FCF">
        <w:trPr>
          <w:cantSplit/>
          <w:trHeight w:val="156"/>
        </w:trPr>
        <w:tc>
          <w:tcPr>
            <w:tcW w:w="1972" w:type="pct"/>
            <w:shd w:val="clear" w:color="auto" w:fill="auto"/>
            <w:vAlign w:val="bottom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кимё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маҳсулотлари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ундан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тайёрланган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буюмлар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19,4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121,1</w:t>
            </w:r>
          </w:p>
        </w:tc>
      </w:tr>
      <w:tr w:rsidR="00D91323" w:rsidRPr="000E0AB0" w:rsidTr="00930FCF">
        <w:trPr>
          <w:cantSplit/>
          <w:trHeight w:val="156"/>
        </w:trPr>
        <w:tc>
          <w:tcPr>
            <w:tcW w:w="1972" w:type="pct"/>
            <w:shd w:val="clear" w:color="auto" w:fill="auto"/>
            <w:vAlign w:val="bottom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энергия манбалари ва нефт маҳсулотлари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2 м.</w:t>
            </w:r>
          </w:p>
        </w:tc>
      </w:tr>
      <w:tr w:rsidR="00D91323" w:rsidRPr="000E0AB0" w:rsidTr="00930FCF">
        <w:trPr>
          <w:cantSplit/>
          <w:trHeight w:val="156"/>
        </w:trPr>
        <w:tc>
          <w:tcPr>
            <w:tcW w:w="1972" w:type="pct"/>
            <w:shd w:val="clear" w:color="auto" w:fill="auto"/>
            <w:vAlign w:val="bottom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sz w:val="24"/>
                <w:szCs w:val="24"/>
              </w:rPr>
              <w:t>қора</w:t>
            </w:r>
            <w:proofErr w:type="spellEnd"/>
            <w:proofErr w:type="gram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рангли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металлар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11,7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182,2</w:t>
            </w:r>
          </w:p>
        </w:tc>
      </w:tr>
      <w:tr w:rsidR="00D91323" w:rsidRPr="000E0AB0" w:rsidTr="00930FCF">
        <w:trPr>
          <w:cantSplit/>
          <w:trHeight w:val="627"/>
        </w:trPr>
        <w:tc>
          <w:tcPr>
            <w:tcW w:w="1972" w:type="pct"/>
            <w:shd w:val="clear" w:color="auto" w:fill="auto"/>
            <w:vAlign w:val="bottom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машина ва ускуналар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46,4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45,6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115,0</w:t>
            </w:r>
          </w:p>
        </w:tc>
      </w:tr>
      <w:tr w:rsidR="00D91323" w:rsidRPr="000E0AB0" w:rsidTr="00930FCF">
        <w:trPr>
          <w:cantSplit/>
          <w:trHeight w:val="156"/>
        </w:trPr>
        <w:tc>
          <w:tcPr>
            <w:tcW w:w="1972" w:type="pct"/>
            <w:shd w:val="clear" w:color="auto" w:fill="auto"/>
            <w:vAlign w:val="bottom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104,6</w:t>
            </w:r>
          </w:p>
        </w:tc>
      </w:tr>
      <w:tr w:rsidR="00D91323" w:rsidRPr="000E0AB0" w:rsidTr="00930FCF">
        <w:trPr>
          <w:cantSplit/>
          <w:trHeight w:val="704"/>
        </w:trPr>
        <w:tc>
          <w:tcPr>
            <w:tcW w:w="1972" w:type="pct"/>
            <w:shd w:val="clear" w:color="auto" w:fill="auto"/>
          </w:tcPr>
          <w:p w:rsidR="00D91323" w:rsidRPr="000E0AB0" w:rsidRDefault="00D91323" w:rsidP="002D306D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бошқалар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11,2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10,9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91323" w:rsidRPr="00120FBF" w:rsidRDefault="00D91323" w:rsidP="002D306D">
            <w:pPr>
              <w:jc w:val="center"/>
              <w:rPr>
                <w:bCs/>
                <w:sz w:val="24"/>
                <w:szCs w:val="24"/>
              </w:rPr>
            </w:pPr>
            <w:r w:rsidRPr="00120FBF">
              <w:rPr>
                <w:bCs/>
                <w:sz w:val="24"/>
                <w:szCs w:val="24"/>
              </w:rPr>
              <w:t>113,4</w:t>
            </w:r>
          </w:p>
        </w:tc>
      </w:tr>
      <w:bookmarkEnd w:id="0"/>
    </w:tbl>
    <w:p w:rsidR="00D91323" w:rsidRDefault="00D91323" w:rsidP="00D91323">
      <w:pPr>
        <w:pStyle w:val="1"/>
        <w:spacing w:after="60" w:line="240" w:lineRule="auto"/>
        <w:ind w:left="0" w:firstLine="0"/>
        <w:jc w:val="center"/>
        <w:rPr>
          <w:rFonts w:ascii="Times New Roman" w:hAnsi="Times New Roman"/>
          <w:bCs w:val="0"/>
          <w:sz w:val="26"/>
          <w:szCs w:val="26"/>
          <w:lang w:val="en-US"/>
        </w:rPr>
      </w:pPr>
    </w:p>
    <w:p w:rsidR="00D91323" w:rsidRPr="00120FBF" w:rsidRDefault="00D91323" w:rsidP="00D91323">
      <w:pPr>
        <w:pStyle w:val="Normal1"/>
        <w:rPr>
          <w:lang w:val="en-US"/>
        </w:rPr>
      </w:pPr>
    </w:p>
    <w:p w:rsidR="00355EDE" w:rsidRDefault="00930FCF"/>
    <w:sectPr w:rsidR="00355EDE" w:rsidSect="00E9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23"/>
    <w:rsid w:val="00185EBE"/>
    <w:rsid w:val="006F7B3C"/>
    <w:rsid w:val="00930FCF"/>
    <w:rsid w:val="00D91323"/>
    <w:rsid w:val="00E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92F70-4E70-44BB-9848-B373DFA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uiPriority w:val="99"/>
    <w:qFormat/>
    <w:rsid w:val="00D91323"/>
    <w:pPr>
      <w:keepNext/>
      <w:spacing w:line="360" w:lineRule="auto"/>
      <w:ind w:left="142" w:hanging="14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13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D9132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913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Normal1">
    <w:name w:val="Normal1"/>
    <w:uiPriority w:val="99"/>
    <w:rsid w:val="00D9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vestorg\&#1056;&#1072;&#1073;&#1086;&#1095;&#1080;&#1081;%20&#1089;&#1090;&#1086;&#1083;\&#1051;&#1080;&#1089;&#1090;%20Microsoft%20Office%20Excel%2097-20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935223927344123E-2"/>
          <c:y val="0.13328540693525226"/>
          <c:w val="0.89815237197822029"/>
          <c:h val="0.701664070135610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Лист3!$L$13</c:f>
              <c:strCache>
                <c:ptCount val="1"/>
                <c:pt idx="0">
                  <c:v>Бошқа давлатлар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Лист3!$M$13:$R$13</c:f>
              <c:numCache>
                <c:formatCode>General</c:formatCode>
                <c:ptCount val="6"/>
                <c:pt idx="0">
                  <c:v>66.7</c:v>
                </c:pt>
                <c:pt idx="1">
                  <c:v>66.599999999999994</c:v>
                </c:pt>
                <c:pt idx="2">
                  <c:v>46.7</c:v>
                </c:pt>
                <c:pt idx="3">
                  <c:v>45.2</c:v>
                </c:pt>
                <c:pt idx="4">
                  <c:v>71.599999999999994</c:v>
                </c:pt>
                <c:pt idx="5">
                  <c:v>72.8</c:v>
                </c:pt>
              </c:numCache>
            </c:numRef>
          </c:val>
        </c:ser>
        <c:ser>
          <c:idx val="1"/>
          <c:order val="1"/>
          <c:tx>
            <c:strRef>
              <c:f>Лист3!$L$14</c:f>
              <c:strCache>
                <c:ptCount val="1"/>
                <c:pt idx="0">
                  <c:v>МДХ давлатлари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3</a:t>
                    </a:r>
                    <a:r>
                      <a:rPr lang="en-US"/>
                      <a:t>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3</a:t>
                    </a:r>
                    <a:r>
                      <a:rPr lang="en-US"/>
                      <a:t>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 b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sz="1000" b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/>
                      <a:t>5</a:t>
                    </a:r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/>
                      <a:t>2</a:t>
                    </a:r>
                    <a:r>
                      <a:rPr lang="en-US"/>
                      <a:t>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100"/>
                      <a:t>2</a:t>
                    </a:r>
                    <a:r>
                      <a:rPr lang="en-US"/>
                      <a:t>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Лист3!$M$14:$R$14</c:f>
              <c:numCache>
                <c:formatCode>General</c:formatCode>
                <c:ptCount val="6"/>
                <c:pt idx="0">
                  <c:v>33.300000000000004</c:v>
                </c:pt>
                <c:pt idx="1">
                  <c:v>33.4</c:v>
                </c:pt>
                <c:pt idx="2">
                  <c:v>53.2</c:v>
                </c:pt>
                <c:pt idx="3">
                  <c:v>54.8</c:v>
                </c:pt>
                <c:pt idx="4">
                  <c:v>28.4</c:v>
                </c:pt>
                <c:pt idx="5">
                  <c:v>27.2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8960040"/>
        <c:axId val="320143960"/>
      </c:barChart>
      <c:catAx>
        <c:axId val="208960040"/>
        <c:scaling>
          <c:orientation val="minMax"/>
        </c:scaling>
        <c:delete val="1"/>
        <c:axPos val="b"/>
        <c:majorTickMark val="out"/>
        <c:minorTickMark val="none"/>
        <c:tickLblPos val="none"/>
        <c:crossAx val="320143960"/>
        <c:crosses val="autoZero"/>
        <c:auto val="1"/>
        <c:lblAlgn val="ctr"/>
        <c:lblOffset val="100"/>
        <c:noMultiLvlLbl val="0"/>
      </c:catAx>
      <c:valAx>
        <c:axId val="3201439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8960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5109971307419328"/>
          <c:w val="0.94308579120700786"/>
          <c:h val="4.890028692583213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0.10913</cdr:x>
      <cdr:y>0.05288</cdr:y>
    </cdr:from>
    <cdr:to>
      <cdr:x>0.30589</cdr:x>
      <cdr:y>0.15672</cdr:y>
    </cdr:to>
    <cdr:sp macro="" textlink="">
      <cdr:nvSpPr>
        <cdr:cNvPr id="2" name="Текст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8175" y="260322"/>
          <a:ext cx="1150640" cy="5112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300" b="1" i="0" strike="noStrike">
              <a:solidFill>
                <a:srgbClr val="000000"/>
              </a:solidFill>
              <a:latin typeface="Times New Roman"/>
              <a:cs typeface="Times New Roman"/>
            </a:rPr>
            <a:t>Ташқи савдо айланмаси</a:t>
          </a:r>
        </a:p>
      </cdr:txBody>
    </cdr:sp>
  </cdr:relSizeAnchor>
  <cdr:relSizeAnchor xmlns:cdr="http://schemas.openxmlformats.org/drawingml/2006/chartDrawing">
    <cdr:from>
      <cdr:x>0.4387</cdr:x>
      <cdr:y>0.05443</cdr:y>
    </cdr:from>
    <cdr:to>
      <cdr:x>0.61175</cdr:x>
      <cdr:y>0.09286</cdr:y>
    </cdr:to>
    <cdr:sp macro="" textlink="">
      <cdr:nvSpPr>
        <cdr:cNvPr id="3" name="Текст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8925" y="333375"/>
          <a:ext cx="1115905" cy="2353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ru-RU" sz="1000" b="1" i="0" strike="noStrike">
              <a:solidFill>
                <a:srgbClr val="000000"/>
              </a:solidFill>
              <a:latin typeface="Times New Roman"/>
              <a:cs typeface="Times New Roman"/>
            </a:rPr>
            <a:t>     </a:t>
          </a:r>
          <a:r>
            <a:rPr lang="uz-Cyrl-UZ" sz="1300" b="1" i="0" strike="noStrike">
              <a:solidFill>
                <a:srgbClr val="000000"/>
              </a:solidFill>
              <a:latin typeface="Times New Roman"/>
              <a:cs typeface="Times New Roman"/>
            </a:rPr>
            <a:t>Экспорт</a:t>
          </a:r>
          <a:endParaRPr lang="ru-RU" sz="1300" b="1" i="0" strike="noStrike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0.75628</cdr:x>
      <cdr:y>0.05443</cdr:y>
    </cdr:from>
    <cdr:to>
      <cdr:x>0.90783</cdr:x>
      <cdr:y>0.09588</cdr:y>
    </cdr:to>
    <cdr:sp macro="" textlink="">
      <cdr:nvSpPr>
        <cdr:cNvPr id="4" name="Текст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76800" y="333375"/>
          <a:ext cx="977252" cy="2538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uz-Cyrl-UZ" sz="1300" b="1" i="0" strike="noStrike">
              <a:solidFill>
                <a:srgbClr val="000000"/>
              </a:solidFill>
              <a:latin typeface="Times New Roman"/>
              <a:cs typeface="Times New Roman"/>
            </a:rPr>
            <a:t>Импорт</a:t>
          </a:r>
          <a:endParaRPr lang="ru-RU" sz="1300" b="1" i="0" strike="noStrike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0.03545</cdr:x>
      <cdr:y>0.05288</cdr:y>
    </cdr:from>
    <cdr:to>
      <cdr:x>0.30589</cdr:x>
      <cdr:y>0.09884</cdr:y>
    </cdr:to>
    <cdr:sp macro="" textlink="">
      <cdr:nvSpPr>
        <cdr:cNvPr id="5" name="Текст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8600" y="323850"/>
          <a:ext cx="1743906" cy="2815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endParaRPr lang="ru-RU" sz="1300" b="1" i="0" strike="noStrike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0.4387</cdr:x>
      <cdr:y>0.05443</cdr:y>
    </cdr:from>
    <cdr:to>
      <cdr:x>0.61175</cdr:x>
      <cdr:y>0.09286</cdr:y>
    </cdr:to>
    <cdr:sp macro="" textlink="">
      <cdr:nvSpPr>
        <cdr:cNvPr id="6" name="Текст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8925" y="333375"/>
          <a:ext cx="1115905" cy="2353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ru-RU" sz="1000" b="1" i="0" strike="noStrike">
              <a:solidFill>
                <a:srgbClr val="000000"/>
              </a:solidFill>
              <a:latin typeface="Times New Roman"/>
              <a:cs typeface="Times New Roman"/>
            </a:rPr>
            <a:t>     </a:t>
          </a:r>
          <a:r>
            <a:rPr lang="uz-Cyrl-UZ" sz="1300" b="1" i="0" strike="noStrike">
              <a:solidFill>
                <a:srgbClr val="000000"/>
              </a:solidFill>
              <a:latin typeface="Times New Roman"/>
              <a:cs typeface="Times New Roman"/>
            </a:rPr>
            <a:t>Экспорт</a:t>
          </a:r>
          <a:endParaRPr lang="ru-RU" sz="1300" b="1" i="0" strike="noStrike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0.75628</cdr:x>
      <cdr:y>0.05443</cdr:y>
    </cdr:from>
    <cdr:to>
      <cdr:x>0.90783</cdr:x>
      <cdr:y>0.09588</cdr:y>
    </cdr:to>
    <cdr:sp macro="" textlink="">
      <cdr:nvSpPr>
        <cdr:cNvPr id="7" name="Текст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76800" y="333375"/>
          <a:ext cx="977252" cy="2538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uz-Cyrl-UZ" sz="1300" b="1" i="0" strike="noStrike">
              <a:solidFill>
                <a:srgbClr val="000000"/>
              </a:solidFill>
              <a:latin typeface="Times New Roman"/>
              <a:cs typeface="Times New Roman"/>
            </a:rPr>
            <a:t>Импорт</a:t>
          </a:r>
          <a:endParaRPr lang="ru-RU" sz="1300" b="1" i="0" strike="noStrike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0.03545</cdr:x>
      <cdr:y>0.05288</cdr:y>
    </cdr:from>
    <cdr:to>
      <cdr:x>0.30589</cdr:x>
      <cdr:y>0.15335</cdr:y>
    </cdr:to>
    <cdr:sp macro="" textlink="">
      <cdr:nvSpPr>
        <cdr:cNvPr id="8" name="Текст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7308" y="260322"/>
          <a:ext cx="1581508" cy="4945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endParaRPr lang="ru-RU" sz="1300" b="1" i="0" strike="noStrike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0.4387</cdr:x>
      <cdr:y>0.05443</cdr:y>
    </cdr:from>
    <cdr:to>
      <cdr:x>0.61175</cdr:x>
      <cdr:y>0.09286</cdr:y>
    </cdr:to>
    <cdr:sp macro="" textlink="">
      <cdr:nvSpPr>
        <cdr:cNvPr id="9" name="Текст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8925" y="333375"/>
          <a:ext cx="1115905" cy="2353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ru-RU" sz="1000" b="1" i="0" strike="noStrike">
              <a:solidFill>
                <a:srgbClr val="000000"/>
              </a:solidFill>
              <a:latin typeface="Times New Roman"/>
              <a:cs typeface="Times New Roman"/>
            </a:rPr>
            <a:t>     </a:t>
          </a:r>
          <a:r>
            <a:rPr lang="uz-Cyrl-UZ" sz="1300" b="1" i="0" strike="noStrike">
              <a:solidFill>
                <a:srgbClr val="000000"/>
              </a:solidFill>
              <a:latin typeface="Times New Roman"/>
              <a:cs typeface="Times New Roman"/>
            </a:rPr>
            <a:t>Экспорт</a:t>
          </a:r>
          <a:endParaRPr lang="ru-RU" sz="1300" b="1" i="0" strike="noStrike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0.75628</cdr:x>
      <cdr:y>0.05443</cdr:y>
    </cdr:from>
    <cdr:to>
      <cdr:x>0.90783</cdr:x>
      <cdr:y>0.09588</cdr:y>
    </cdr:to>
    <cdr:sp macro="" textlink="">
      <cdr:nvSpPr>
        <cdr:cNvPr id="10" name="Текст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76800" y="333375"/>
          <a:ext cx="977252" cy="2538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uz-Cyrl-UZ" sz="1300" b="1" i="0" strike="noStrike">
              <a:solidFill>
                <a:srgbClr val="000000"/>
              </a:solidFill>
              <a:latin typeface="Times New Roman"/>
              <a:cs typeface="Times New Roman"/>
            </a:rPr>
            <a:t>Импорт</a:t>
          </a:r>
          <a:endParaRPr lang="ru-RU" sz="1300" b="1" i="0" strike="noStrike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0.07167</cdr:x>
      <cdr:y>0.88422</cdr:y>
    </cdr:from>
    <cdr:to>
      <cdr:x>0.19708</cdr:x>
      <cdr:y>0.92099</cdr:y>
    </cdr:to>
    <cdr:sp macro="" textlink="">
      <cdr:nvSpPr>
        <cdr:cNvPr id="11" name="Текст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9099" y="4352925"/>
          <a:ext cx="733425" cy="1809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2018 йил</a:t>
          </a:r>
        </a:p>
      </cdr:txBody>
    </cdr:sp>
  </cdr:relSizeAnchor>
  <cdr:relSizeAnchor xmlns:cdr="http://schemas.openxmlformats.org/drawingml/2006/chartDrawing">
    <cdr:from>
      <cdr:x>0.38439</cdr:x>
      <cdr:y>0.87842</cdr:y>
    </cdr:from>
    <cdr:to>
      <cdr:x>0.50492</cdr:x>
      <cdr:y>0.91712</cdr:y>
    </cdr:to>
    <cdr:sp macro="" textlink="">
      <cdr:nvSpPr>
        <cdr:cNvPr id="13" name="Текст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47900" y="4324351"/>
          <a:ext cx="704850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2018 йил</a:t>
          </a:r>
        </a:p>
      </cdr:txBody>
    </cdr:sp>
  </cdr:relSizeAnchor>
  <cdr:relSizeAnchor xmlns:cdr="http://schemas.openxmlformats.org/drawingml/2006/chartDrawing">
    <cdr:from>
      <cdr:x>0.68083</cdr:x>
      <cdr:y>0.88229</cdr:y>
    </cdr:from>
    <cdr:to>
      <cdr:x>0.79648</cdr:x>
      <cdr:y>0.91905</cdr:y>
    </cdr:to>
    <cdr:sp macro="" textlink="">
      <cdr:nvSpPr>
        <cdr:cNvPr id="14" name="Текст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81449" y="4343400"/>
          <a:ext cx="676275" cy="180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2018 йил</a:t>
          </a:r>
        </a:p>
      </cdr:txBody>
    </cdr:sp>
  </cdr:relSizeAnchor>
  <cdr:relSizeAnchor xmlns:cdr="http://schemas.openxmlformats.org/drawingml/2006/chartDrawing">
    <cdr:from>
      <cdr:x>0.81928</cdr:x>
      <cdr:y>0.88422</cdr:y>
    </cdr:from>
    <cdr:to>
      <cdr:x>0.9333</cdr:x>
      <cdr:y>0.92099</cdr:y>
    </cdr:to>
    <cdr:sp macro="" textlink="">
      <cdr:nvSpPr>
        <cdr:cNvPr id="15" name="Текст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91075" y="4352925"/>
          <a:ext cx="666750" cy="180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2019 йил</a:t>
          </a:r>
        </a:p>
      </cdr:txBody>
    </cdr:sp>
  </cdr:relSizeAnchor>
  <cdr:relSizeAnchor xmlns:cdr="http://schemas.openxmlformats.org/drawingml/2006/chartDrawing">
    <cdr:from>
      <cdr:x>0.53261</cdr:x>
      <cdr:y>0.88035</cdr:y>
    </cdr:from>
    <cdr:to>
      <cdr:x>0.64663</cdr:x>
      <cdr:y>0.91712</cdr:y>
    </cdr:to>
    <cdr:sp macro="" textlink="">
      <cdr:nvSpPr>
        <cdr:cNvPr id="16" name="Текст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14675" y="4333875"/>
          <a:ext cx="666750" cy="180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2019 йил</a:t>
          </a:r>
        </a:p>
      </cdr:txBody>
    </cdr:sp>
  </cdr:relSizeAnchor>
  <cdr:relSizeAnchor xmlns:cdr="http://schemas.openxmlformats.org/drawingml/2006/chartDrawing">
    <cdr:from>
      <cdr:x>0.21663</cdr:x>
      <cdr:y>0.88422</cdr:y>
    </cdr:from>
    <cdr:to>
      <cdr:x>0.33064</cdr:x>
      <cdr:y>0.92099</cdr:y>
    </cdr:to>
    <cdr:sp macro="" textlink="">
      <cdr:nvSpPr>
        <cdr:cNvPr id="17" name="Текст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66825" y="4352925"/>
          <a:ext cx="666750" cy="180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7432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2019 йил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2</cp:revision>
  <dcterms:created xsi:type="dcterms:W3CDTF">2019-12-09T05:42:00Z</dcterms:created>
  <dcterms:modified xsi:type="dcterms:W3CDTF">2019-12-09T10:40:00Z</dcterms:modified>
</cp:coreProperties>
</file>