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B3" w:rsidRDefault="000076B3" w:rsidP="000076B3">
      <w:pPr>
        <w:pStyle w:val="a4"/>
        <w:jc w:val="center"/>
        <w:rPr>
          <w:b/>
          <w:lang w:val="uz-Cyrl-UZ"/>
        </w:rPr>
      </w:pPr>
      <w:r>
        <w:rPr>
          <w:b/>
          <w:lang w:val="uz-Cyrl-UZ"/>
        </w:rPr>
        <w:t>Оилавий  корхоналар сони</w:t>
      </w:r>
    </w:p>
    <w:p w:rsidR="000076B3" w:rsidRDefault="000076B3" w:rsidP="000076B3">
      <w:pPr>
        <w:widowControl w:val="0"/>
        <w:jc w:val="center"/>
        <w:rPr>
          <w:sz w:val="12"/>
          <w:szCs w:val="24"/>
          <w:lang w:val="uz-Cyrl-UZ"/>
        </w:rPr>
      </w:pPr>
    </w:p>
    <w:p w:rsidR="000076B3" w:rsidRDefault="000076B3" w:rsidP="000076B3">
      <w:pPr>
        <w:widowControl w:val="0"/>
        <w:spacing w:line="276" w:lineRule="auto"/>
        <w:ind w:firstLine="567"/>
        <w:jc w:val="both"/>
        <w:rPr>
          <w:sz w:val="24"/>
          <w:szCs w:val="24"/>
          <w:lang w:val="uz-Cyrl-UZ"/>
        </w:rPr>
      </w:pPr>
      <w:r>
        <w:rPr>
          <w:sz w:val="24"/>
          <w:szCs w:val="24"/>
          <w:lang w:val="uz-Cyrl-UZ"/>
        </w:rPr>
        <w:t xml:space="preserve">Юридик шахс сифатида давлат рўйхатидан ўтган оилавий корхоналар сони  </w:t>
      </w:r>
      <w:r>
        <w:rPr>
          <w:sz w:val="24"/>
          <w:szCs w:val="24"/>
          <w:lang w:val="uz-Cyrl-UZ"/>
        </w:rPr>
        <w:br/>
        <w:t>2019 йилнинг 1 июль ҳолатига 3797 тани ташкил этиб, улардан 3637 таси ёки                    95,8 фоизи фаолият кўрсатмоқда. Бу кўрсаткич ўтган йилнинг шу даврига нисбатан олганда давлат рўйхатидан ўтганларнинг ҳамда фаолият кўрсатаётганларнинг умумий сони ўртача 83,1</w:t>
      </w:r>
      <w:r>
        <w:rPr>
          <w:b/>
          <w:bCs/>
          <w:sz w:val="24"/>
          <w:szCs w:val="24"/>
          <w:lang w:val="uz-Cyrl-UZ"/>
        </w:rPr>
        <w:t xml:space="preserve"> </w:t>
      </w:r>
      <w:r>
        <w:rPr>
          <w:sz w:val="24"/>
          <w:szCs w:val="24"/>
          <w:lang w:val="uz-Cyrl-UZ"/>
        </w:rPr>
        <w:t xml:space="preserve">фоизга ўсган. </w:t>
      </w:r>
    </w:p>
    <w:p w:rsidR="000076B3" w:rsidRDefault="000076B3" w:rsidP="000076B3">
      <w:pPr>
        <w:widowControl w:val="0"/>
        <w:jc w:val="both"/>
        <w:rPr>
          <w:sz w:val="12"/>
          <w:szCs w:val="24"/>
          <w:lang w:val="uz-Cyrl-UZ"/>
        </w:rPr>
      </w:pPr>
    </w:p>
    <w:p w:rsidR="000076B3" w:rsidRDefault="000076B3" w:rsidP="000076B3">
      <w:pPr>
        <w:widowControl w:val="0"/>
        <w:jc w:val="center"/>
        <w:rPr>
          <w:i/>
          <w:sz w:val="22"/>
          <w:szCs w:val="24"/>
        </w:rPr>
      </w:pPr>
      <w:proofErr w:type="spellStart"/>
      <w:r>
        <w:rPr>
          <w:b/>
          <w:bCs/>
          <w:sz w:val="24"/>
          <w:szCs w:val="24"/>
        </w:rPr>
        <w:t>Оилавий</w:t>
      </w:r>
      <w:proofErr w:type="spellEnd"/>
      <w:r>
        <w:rPr>
          <w:b/>
          <w:bCs/>
          <w:sz w:val="24"/>
          <w:szCs w:val="24"/>
        </w:rPr>
        <w:t xml:space="preserve"> </w:t>
      </w:r>
      <w:proofErr w:type="spellStart"/>
      <w:r>
        <w:rPr>
          <w:b/>
          <w:bCs/>
          <w:sz w:val="24"/>
          <w:szCs w:val="24"/>
        </w:rPr>
        <w:t>корхоналар</w:t>
      </w:r>
      <w:proofErr w:type="spellEnd"/>
      <w:r>
        <w:rPr>
          <w:b/>
          <w:bCs/>
          <w:sz w:val="24"/>
          <w:szCs w:val="24"/>
        </w:rPr>
        <w:t xml:space="preserve"> </w:t>
      </w:r>
      <w:proofErr w:type="spellStart"/>
      <w:r>
        <w:rPr>
          <w:b/>
          <w:bCs/>
          <w:sz w:val="24"/>
          <w:szCs w:val="24"/>
        </w:rPr>
        <w:t>сонининг</w:t>
      </w:r>
      <w:proofErr w:type="spellEnd"/>
      <w:r>
        <w:rPr>
          <w:b/>
          <w:bCs/>
          <w:sz w:val="24"/>
          <w:szCs w:val="24"/>
        </w:rPr>
        <w:t xml:space="preserve"> </w:t>
      </w:r>
      <w:proofErr w:type="spellStart"/>
      <w:r>
        <w:rPr>
          <w:b/>
          <w:bCs/>
          <w:sz w:val="24"/>
          <w:szCs w:val="24"/>
        </w:rPr>
        <w:t>ўсиш</w:t>
      </w:r>
      <w:proofErr w:type="spellEnd"/>
      <w:r>
        <w:rPr>
          <w:b/>
          <w:bCs/>
          <w:sz w:val="24"/>
          <w:szCs w:val="24"/>
        </w:rPr>
        <w:t xml:space="preserve"> </w:t>
      </w:r>
      <w:proofErr w:type="spellStart"/>
      <w:r>
        <w:rPr>
          <w:b/>
          <w:bCs/>
          <w:sz w:val="24"/>
          <w:szCs w:val="24"/>
        </w:rPr>
        <w:t>динамикаси</w:t>
      </w:r>
      <w:proofErr w:type="spellEnd"/>
      <w:r>
        <w:rPr>
          <w:b/>
          <w:bCs/>
          <w:sz w:val="24"/>
          <w:szCs w:val="24"/>
        </w:rPr>
        <w:t xml:space="preserve">, </w:t>
      </w:r>
      <w:proofErr w:type="spellStart"/>
      <w:r>
        <w:rPr>
          <w:i/>
          <w:sz w:val="22"/>
          <w:szCs w:val="24"/>
        </w:rPr>
        <w:t>бирликда</w:t>
      </w:r>
      <w:proofErr w:type="spellEnd"/>
    </w:p>
    <w:p w:rsidR="000076B3" w:rsidRDefault="000076B3" w:rsidP="000076B3">
      <w:pPr>
        <w:widowControl w:val="0"/>
        <w:jc w:val="center"/>
        <w:rPr>
          <w:i/>
          <w:sz w:val="10"/>
          <w:szCs w:val="24"/>
          <w:lang w:val="uz-Cyrl-UZ"/>
        </w:rPr>
      </w:pPr>
    </w:p>
    <w:p w:rsidR="000076B3" w:rsidRDefault="000076B3" w:rsidP="000076B3">
      <w:pPr>
        <w:pStyle w:val="-5"/>
        <w:rPr>
          <w:i/>
          <w:noProof/>
          <w:sz w:val="22"/>
          <w:lang w:val="uz-Cyrl-UZ"/>
        </w:rPr>
      </w:pPr>
      <w:r>
        <w:rPr>
          <w:i/>
          <w:noProof/>
          <w:sz w:val="22"/>
        </w:rPr>
        <w:drawing>
          <wp:inline distT="0" distB="0" distL="0" distR="0">
            <wp:extent cx="5874385" cy="3584575"/>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76B3" w:rsidRDefault="000076B3" w:rsidP="000076B3">
      <w:pPr>
        <w:spacing w:after="160" w:line="276" w:lineRule="auto"/>
        <w:ind w:firstLine="283"/>
        <w:contextualSpacing/>
        <w:jc w:val="both"/>
        <w:rPr>
          <w:sz w:val="24"/>
          <w:szCs w:val="24"/>
          <w:lang w:val="uz-Cyrl-UZ"/>
        </w:rPr>
      </w:pPr>
      <w:r>
        <w:rPr>
          <w:sz w:val="24"/>
          <w:szCs w:val="24"/>
          <w:lang w:val="uz-Cyrl-UZ"/>
        </w:rPr>
        <w:t xml:space="preserve">Фаолият кўрсатаётган оилавий корхоналарнинг асосий қисми, яъни 1117 таси Самарқанд шаҳрига, 398 таси Пастдарғом, 393 таси Самарқанд ҳамда 353 таси Иштихон туманлари ҳиссасига тўғри келади. </w:t>
      </w:r>
    </w:p>
    <w:p w:rsidR="000076B3" w:rsidRDefault="000076B3" w:rsidP="000076B3">
      <w:pPr>
        <w:widowControl w:val="0"/>
        <w:ind w:firstLine="720"/>
        <w:jc w:val="both"/>
        <w:rPr>
          <w:b/>
          <w:sz w:val="24"/>
          <w:szCs w:val="24"/>
          <w:lang w:val="uz-Cyrl-UZ"/>
        </w:rPr>
      </w:pPr>
      <w:r>
        <w:rPr>
          <w:b/>
          <w:sz w:val="24"/>
          <w:szCs w:val="24"/>
          <w:lang w:val="uz-Cyrl-UZ"/>
        </w:rPr>
        <w:t xml:space="preserve">      </w:t>
      </w:r>
    </w:p>
    <w:p w:rsidR="000076B3" w:rsidRDefault="000076B3" w:rsidP="000076B3">
      <w:pPr>
        <w:widowControl w:val="0"/>
        <w:ind w:firstLine="720"/>
        <w:jc w:val="both"/>
        <w:rPr>
          <w:b/>
          <w:sz w:val="24"/>
          <w:szCs w:val="24"/>
          <w:lang w:val="uz-Cyrl-UZ"/>
        </w:rPr>
      </w:pPr>
      <w:r>
        <w:rPr>
          <w:b/>
          <w:sz w:val="24"/>
          <w:szCs w:val="24"/>
          <w:lang w:val="uz-Cyrl-UZ"/>
        </w:rPr>
        <w:t xml:space="preserve">  </w:t>
      </w: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0076B3">
      <w:pPr>
        <w:widowControl w:val="0"/>
        <w:ind w:firstLine="720"/>
        <w:jc w:val="both"/>
        <w:rPr>
          <w:b/>
          <w:sz w:val="24"/>
          <w:szCs w:val="24"/>
          <w:lang w:val="uz-Cyrl-UZ"/>
        </w:rPr>
      </w:pPr>
    </w:p>
    <w:p w:rsidR="000076B3" w:rsidRDefault="000076B3" w:rsidP="00AA6669">
      <w:pPr>
        <w:widowControl w:val="0"/>
        <w:jc w:val="both"/>
        <w:rPr>
          <w:b/>
          <w:sz w:val="24"/>
          <w:szCs w:val="24"/>
          <w:lang w:val="uz-Cyrl-UZ"/>
        </w:rPr>
      </w:pPr>
    </w:p>
    <w:p w:rsidR="000076B3" w:rsidRDefault="000076B3" w:rsidP="000076B3">
      <w:pPr>
        <w:widowControl w:val="0"/>
        <w:ind w:firstLine="720"/>
        <w:jc w:val="both"/>
        <w:rPr>
          <w:b/>
          <w:bCs/>
          <w:sz w:val="24"/>
          <w:szCs w:val="24"/>
        </w:rPr>
      </w:pPr>
      <w:r>
        <w:rPr>
          <w:b/>
          <w:sz w:val="24"/>
          <w:szCs w:val="24"/>
          <w:lang w:val="uz-Cyrl-UZ"/>
        </w:rPr>
        <w:lastRenderedPageBreak/>
        <w:t xml:space="preserve">  Фаолият кўрсатаётган оилавий корхоналар</w:t>
      </w:r>
      <w:r>
        <w:rPr>
          <w:b/>
          <w:sz w:val="24"/>
          <w:szCs w:val="24"/>
        </w:rPr>
        <w:t xml:space="preserve"> сони, </w:t>
      </w:r>
      <w:proofErr w:type="spellStart"/>
      <w:r>
        <w:rPr>
          <w:b/>
          <w:sz w:val="24"/>
          <w:szCs w:val="24"/>
        </w:rPr>
        <w:t>бирликда</w:t>
      </w:r>
      <w:proofErr w:type="spellEnd"/>
    </w:p>
    <w:p w:rsidR="000076B3" w:rsidRDefault="000076B3" w:rsidP="000076B3">
      <w:pPr>
        <w:widowControl w:val="0"/>
        <w:spacing w:line="264" w:lineRule="auto"/>
        <w:ind w:firstLine="567"/>
        <w:jc w:val="both"/>
        <w:rPr>
          <w:sz w:val="24"/>
          <w:szCs w:val="24"/>
          <w:lang w:val="uz-Cyrl-UZ"/>
        </w:rPr>
      </w:pPr>
      <w:r>
        <w:rPr>
          <w:noProof/>
        </w:rPr>
        <w:drawing>
          <wp:anchor distT="0" distB="17526" distL="114300" distR="117475" simplePos="0" relativeHeight="251658240" behindDoc="0" locked="0" layoutInCell="1" allowOverlap="1">
            <wp:simplePos x="0" y="0"/>
            <wp:positionH relativeFrom="column">
              <wp:posOffset>7620</wp:posOffset>
            </wp:positionH>
            <wp:positionV relativeFrom="paragraph">
              <wp:posOffset>225425</wp:posOffset>
            </wp:positionV>
            <wp:extent cx="5791200" cy="4072255"/>
            <wp:effectExtent l="0" t="0" r="0" b="0"/>
            <wp:wrapTopAndBottom/>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076B3" w:rsidRDefault="000076B3" w:rsidP="000076B3">
      <w:pPr>
        <w:widowControl w:val="0"/>
        <w:spacing w:line="264" w:lineRule="auto"/>
        <w:ind w:firstLine="567"/>
        <w:jc w:val="both"/>
        <w:rPr>
          <w:sz w:val="24"/>
          <w:szCs w:val="24"/>
        </w:rPr>
      </w:pPr>
    </w:p>
    <w:p w:rsidR="000076B3" w:rsidRDefault="000076B3" w:rsidP="000076B3">
      <w:pPr>
        <w:widowControl w:val="0"/>
        <w:spacing w:line="276" w:lineRule="auto"/>
        <w:ind w:firstLine="567"/>
        <w:jc w:val="both"/>
        <w:rPr>
          <w:sz w:val="24"/>
          <w:szCs w:val="24"/>
          <w:lang w:val="uz-Cyrl-UZ"/>
        </w:rPr>
      </w:pPr>
      <w:r>
        <w:rPr>
          <w:sz w:val="24"/>
          <w:szCs w:val="24"/>
          <w:lang w:val="uz-Cyrl-UZ"/>
        </w:rPr>
        <w:t>Фаолият кўрсатаётган оилавий корхоналарнинг иқтисодий фаолият турлари бўйича қаралганда оилавий корхоналарнинг 32,6 фоизи ёки 1185 таси саноатда, 27,7 фоизи ёки 1009 таси яшаш ва овқатланиш бўйича хизматларда, 21,0 фоизи ёки 763 таси савдода,</w:t>
      </w:r>
      <w:r>
        <w:rPr>
          <w:sz w:val="24"/>
          <w:szCs w:val="24"/>
          <w:lang w:val="uz-Cyrl-UZ"/>
        </w:rPr>
        <w:br/>
        <w:t xml:space="preserve">8,2 фоизи ёки 298 таси қишлоқ, ўрмон ва балиқ хўжалигида, 1,0 фоизи ёки 37 таси ахборот ва алоқада, 0,9 фоизи ёки 32 таси қурилишда, 0,8 фоизи ёки 29 таси ташиш ва сақлашда, 0,4 фоизи ёки 13 таси соғлиқни сақлаш ва ижтимоий хизматлар кўрсатишда ҳамда 7,5 фоизи ёки 271 таси  бошқа фаолият турлари ҳиссасига тўғри келмоқда. </w:t>
      </w:r>
    </w:p>
    <w:p w:rsidR="000076B3" w:rsidRDefault="000076B3" w:rsidP="000076B3">
      <w:pPr>
        <w:pStyle w:val="2"/>
        <w:widowControl w:val="0"/>
        <w:ind w:right="-569"/>
        <w:rPr>
          <w:rFonts w:ascii="Times New Roman" w:hAnsi="Times New Roman"/>
          <w:bCs w:val="0"/>
          <w:sz w:val="24"/>
          <w:szCs w:val="24"/>
          <w:lang w:val="uz-Cyrl-UZ"/>
        </w:rPr>
      </w:pPr>
    </w:p>
    <w:p w:rsidR="000076B3" w:rsidRDefault="000076B3" w:rsidP="000076B3">
      <w:pPr>
        <w:rPr>
          <w:lang w:val="uz-Cyrl-UZ"/>
        </w:rPr>
      </w:pPr>
    </w:p>
    <w:p w:rsidR="000076B3" w:rsidRDefault="000076B3" w:rsidP="000076B3">
      <w:pPr>
        <w:rPr>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0076B3" w:rsidRDefault="000076B3" w:rsidP="000076B3">
      <w:pPr>
        <w:rPr>
          <w:lang w:val="uz-Cyrl-UZ"/>
        </w:rPr>
      </w:pPr>
    </w:p>
    <w:p w:rsidR="000076B3" w:rsidRDefault="000076B3" w:rsidP="000076B3">
      <w:pPr>
        <w:rPr>
          <w:lang w:val="uz-Cyrl-UZ"/>
        </w:rPr>
      </w:pPr>
    </w:p>
    <w:p w:rsidR="000076B3" w:rsidRDefault="000076B3" w:rsidP="000076B3">
      <w:pPr>
        <w:rPr>
          <w:lang w:val="uz-Cyrl-UZ"/>
        </w:rPr>
      </w:pPr>
    </w:p>
    <w:p w:rsidR="000076B3" w:rsidRPr="000076B3" w:rsidRDefault="000076B3" w:rsidP="000076B3">
      <w:pPr>
        <w:rPr>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0076B3" w:rsidRDefault="000076B3" w:rsidP="00AA6669">
      <w:pPr>
        <w:pStyle w:val="2"/>
        <w:widowControl w:val="0"/>
        <w:ind w:right="-569"/>
        <w:jc w:val="left"/>
        <w:rPr>
          <w:rFonts w:ascii="Times New Roman" w:hAnsi="Times New Roman"/>
          <w:b w:val="0"/>
          <w:bCs w:val="0"/>
          <w:i w:val="0"/>
          <w:iCs w:val="0"/>
          <w:sz w:val="20"/>
          <w:szCs w:val="20"/>
          <w:lang w:val="uz-Cyrl-UZ"/>
        </w:rPr>
      </w:pPr>
    </w:p>
    <w:p w:rsidR="000076B3" w:rsidRDefault="000076B3" w:rsidP="000076B3">
      <w:pPr>
        <w:pStyle w:val="2"/>
        <w:widowControl w:val="0"/>
        <w:ind w:right="-569"/>
        <w:rPr>
          <w:rFonts w:ascii="Times New Roman" w:hAnsi="Times New Roman"/>
          <w:bCs w:val="0"/>
          <w:i w:val="0"/>
          <w:sz w:val="24"/>
          <w:szCs w:val="24"/>
          <w:lang w:val="uz-Cyrl-UZ"/>
        </w:rPr>
      </w:pPr>
    </w:p>
    <w:p w:rsidR="00AA6669" w:rsidRPr="00AA6669" w:rsidRDefault="00AA6669" w:rsidP="00AA6669">
      <w:pPr>
        <w:rPr>
          <w:lang w:val="uz-Cyrl-UZ"/>
        </w:rPr>
      </w:pPr>
    </w:p>
    <w:p w:rsidR="00AA6669" w:rsidRDefault="00AA6669" w:rsidP="000076B3">
      <w:pPr>
        <w:pStyle w:val="2"/>
        <w:widowControl w:val="0"/>
        <w:ind w:right="-569"/>
        <w:rPr>
          <w:rFonts w:ascii="Times New Roman" w:hAnsi="Times New Roman"/>
          <w:bCs w:val="0"/>
          <w:i w:val="0"/>
          <w:sz w:val="24"/>
          <w:szCs w:val="24"/>
          <w:lang w:val="uz-Cyrl-UZ"/>
        </w:rPr>
      </w:pPr>
    </w:p>
    <w:p w:rsidR="000076B3" w:rsidRDefault="000076B3" w:rsidP="000076B3">
      <w:pPr>
        <w:pStyle w:val="2"/>
        <w:widowControl w:val="0"/>
        <w:ind w:right="-569"/>
        <w:rPr>
          <w:rFonts w:ascii="Times New Roman" w:hAnsi="Times New Roman"/>
          <w:bCs w:val="0"/>
          <w:i w:val="0"/>
          <w:sz w:val="24"/>
          <w:szCs w:val="24"/>
          <w:lang w:val="uz-Cyrl-UZ"/>
        </w:rPr>
      </w:pPr>
      <w:r>
        <w:rPr>
          <w:rFonts w:ascii="Times New Roman" w:hAnsi="Times New Roman"/>
          <w:bCs w:val="0"/>
          <w:i w:val="0"/>
          <w:sz w:val="24"/>
          <w:szCs w:val="24"/>
          <w:lang w:val="uz-Cyrl-UZ"/>
        </w:rPr>
        <w:t>Фаолият кўрсатаётган оилавий корхоналарнинг иқтисодий фаолият</w:t>
      </w:r>
    </w:p>
    <w:p w:rsidR="000076B3" w:rsidRDefault="000076B3" w:rsidP="000076B3">
      <w:pPr>
        <w:pStyle w:val="2"/>
        <w:widowControl w:val="0"/>
        <w:ind w:right="-569"/>
        <w:rPr>
          <w:rFonts w:ascii="Times New Roman" w:hAnsi="Times New Roman"/>
          <w:sz w:val="16"/>
          <w:szCs w:val="16"/>
          <w:lang w:val="uz-Cyrl-UZ"/>
        </w:rPr>
      </w:pPr>
      <w:r>
        <w:rPr>
          <w:rFonts w:ascii="Times New Roman" w:hAnsi="Times New Roman"/>
          <w:bCs w:val="0"/>
          <w:i w:val="0"/>
          <w:sz w:val="24"/>
          <w:szCs w:val="24"/>
          <w:lang w:val="uz-Cyrl-UZ"/>
        </w:rPr>
        <w:t xml:space="preserve"> турлари бўйича улуши</w:t>
      </w:r>
      <w:r>
        <w:rPr>
          <w:rFonts w:ascii="Times New Roman" w:hAnsi="Times New Roman"/>
          <w:b w:val="0"/>
          <w:bCs w:val="0"/>
          <w:i w:val="0"/>
          <w:sz w:val="24"/>
          <w:szCs w:val="24"/>
          <w:lang w:val="uz-Cyrl-UZ"/>
        </w:rPr>
        <w:t xml:space="preserve">, </w:t>
      </w:r>
      <w:r>
        <w:rPr>
          <w:rFonts w:ascii="Times New Roman" w:hAnsi="Times New Roman"/>
          <w:b w:val="0"/>
          <w:sz w:val="24"/>
          <w:szCs w:val="24"/>
          <w:lang w:val="uz-Cyrl-UZ"/>
        </w:rPr>
        <w:t>фоизда</w:t>
      </w:r>
    </w:p>
    <w:p w:rsidR="000076B3" w:rsidRDefault="000076B3" w:rsidP="000076B3">
      <w:pPr>
        <w:rPr>
          <w:lang w:val="uz-Cyrl-UZ"/>
        </w:rPr>
      </w:pPr>
    </w:p>
    <w:p w:rsidR="000076B3" w:rsidRDefault="00AA6669" w:rsidP="000076B3">
      <w:pPr>
        <w:rPr>
          <w:lang w:val="uz-Cyrl-UZ"/>
        </w:rPr>
      </w:pPr>
      <w:bookmarkStart w:id="0" w:name="_GoBack"/>
      <w:bookmarkEnd w:id="0"/>
      <w:r>
        <w:rPr>
          <w:noProof/>
        </w:rPr>
        <w:drawing>
          <wp:anchor distT="597408" distB="532337" distL="260604" distR="213679" simplePos="0" relativeHeight="251660288" behindDoc="0" locked="0" layoutInCell="1" allowOverlap="1" wp14:anchorId="6AA04661" wp14:editId="21B8D966">
            <wp:simplePos x="0" y="0"/>
            <wp:positionH relativeFrom="column">
              <wp:posOffset>679450</wp:posOffset>
            </wp:positionH>
            <wp:positionV relativeFrom="paragraph">
              <wp:posOffset>801370</wp:posOffset>
            </wp:positionV>
            <wp:extent cx="5102225" cy="4525645"/>
            <wp:effectExtent l="0" t="0" r="0" b="0"/>
            <wp:wrapTopAndBottom/>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0076B3" w:rsidRDefault="000076B3" w:rsidP="000076B3">
      <w:pPr>
        <w:rPr>
          <w:lang w:val="uz-Cyrl-UZ"/>
        </w:rPr>
      </w:pPr>
    </w:p>
    <w:p w:rsidR="000D06E9" w:rsidRPr="000076B3" w:rsidRDefault="000D06E9">
      <w:pPr>
        <w:rPr>
          <w:lang w:val="uz-Cyrl-UZ"/>
        </w:rPr>
      </w:pPr>
    </w:p>
    <w:sectPr w:rsidR="000D06E9" w:rsidRPr="000076B3" w:rsidSect="000D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68" w:rsidRDefault="00F17C68" w:rsidP="00AA6669">
      <w:r>
        <w:separator/>
      </w:r>
    </w:p>
  </w:endnote>
  <w:endnote w:type="continuationSeparator" w:id="0">
    <w:p w:rsidR="00F17C68" w:rsidRDefault="00F17C68" w:rsidP="00A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68" w:rsidRDefault="00F17C68" w:rsidP="00AA6669">
      <w:r>
        <w:separator/>
      </w:r>
    </w:p>
  </w:footnote>
  <w:footnote w:type="continuationSeparator" w:id="0">
    <w:p w:rsidR="00F17C68" w:rsidRDefault="00F17C68" w:rsidP="00AA6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6B3"/>
    <w:rsid w:val="000076B3"/>
    <w:rsid w:val="000D06E9"/>
    <w:rsid w:val="00321340"/>
    <w:rsid w:val="007806BA"/>
    <w:rsid w:val="00AA6669"/>
    <w:rsid w:val="00F17C68"/>
    <w:rsid w:val="00F4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1EE7-3411-4491-9C99-E9898FDC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6B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unhideWhenUsed/>
    <w:qFormat/>
    <w:rsid w:val="000076B3"/>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076B3"/>
    <w:rPr>
      <w:rFonts w:ascii="Cambria" w:eastAsia="Times New Roman" w:hAnsi="Cambria" w:cs="Times New Roman"/>
      <w:b/>
      <w:bCs/>
      <w:i/>
      <w:iCs/>
      <w:sz w:val="28"/>
      <w:szCs w:val="28"/>
      <w:lang w:eastAsia="ru-RU"/>
    </w:rPr>
  </w:style>
  <w:style w:type="character" w:customStyle="1" w:styleId="a3">
    <w:name w:val="Без интервала Знак"/>
    <w:basedOn w:val="a0"/>
    <w:link w:val="a4"/>
    <w:uiPriority w:val="99"/>
    <w:locked/>
    <w:rsid w:val="000076B3"/>
    <w:rPr>
      <w:sz w:val="24"/>
      <w:szCs w:val="24"/>
    </w:rPr>
  </w:style>
  <w:style w:type="paragraph" w:styleId="a4">
    <w:name w:val="No Spacing"/>
    <w:link w:val="a3"/>
    <w:uiPriority w:val="99"/>
    <w:qFormat/>
    <w:rsid w:val="000076B3"/>
    <w:pPr>
      <w:spacing w:after="0" w:line="240" w:lineRule="auto"/>
    </w:pPr>
    <w:rPr>
      <w:sz w:val="24"/>
      <w:szCs w:val="24"/>
    </w:rPr>
  </w:style>
  <w:style w:type="paragraph" w:customStyle="1" w:styleId="-5">
    <w:name w:val="Лица и адреса-5"/>
    <w:basedOn w:val="a"/>
    <w:uiPriority w:val="99"/>
    <w:rsid w:val="000076B3"/>
    <w:rPr>
      <w:sz w:val="24"/>
      <w:szCs w:val="24"/>
    </w:rPr>
  </w:style>
  <w:style w:type="paragraph" w:styleId="a5">
    <w:name w:val="Balloon Text"/>
    <w:basedOn w:val="a"/>
    <w:link w:val="a6"/>
    <w:uiPriority w:val="99"/>
    <w:semiHidden/>
    <w:unhideWhenUsed/>
    <w:rsid w:val="000076B3"/>
    <w:rPr>
      <w:rFonts w:ascii="Tahoma" w:hAnsi="Tahoma" w:cs="Tahoma"/>
      <w:sz w:val="16"/>
      <w:szCs w:val="16"/>
    </w:rPr>
  </w:style>
  <w:style w:type="character" w:customStyle="1" w:styleId="a6">
    <w:name w:val="Текст выноски Знак"/>
    <w:basedOn w:val="a0"/>
    <w:link w:val="a5"/>
    <w:uiPriority w:val="99"/>
    <w:semiHidden/>
    <w:rsid w:val="000076B3"/>
    <w:rPr>
      <w:rFonts w:ascii="Tahoma" w:eastAsia="Times New Roman" w:hAnsi="Tahoma" w:cs="Tahoma"/>
      <w:sz w:val="16"/>
      <w:szCs w:val="16"/>
      <w:lang w:eastAsia="ru-RU"/>
    </w:rPr>
  </w:style>
  <w:style w:type="paragraph" w:styleId="21">
    <w:name w:val="Body Text Indent 2"/>
    <w:basedOn w:val="a"/>
    <w:link w:val="210"/>
    <w:uiPriority w:val="99"/>
    <w:unhideWhenUsed/>
    <w:rsid w:val="000076B3"/>
    <w:pPr>
      <w:widowControl w:val="0"/>
      <w:spacing w:after="120"/>
      <w:ind w:firstLine="567"/>
      <w:jc w:val="both"/>
    </w:pPr>
    <w:rPr>
      <w:sz w:val="24"/>
      <w:szCs w:val="24"/>
    </w:rPr>
  </w:style>
  <w:style w:type="character" w:customStyle="1" w:styleId="22">
    <w:name w:val="Основной текст с отступом 2 Знак"/>
    <w:basedOn w:val="a0"/>
    <w:uiPriority w:val="99"/>
    <w:semiHidden/>
    <w:rsid w:val="000076B3"/>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1"/>
    <w:uiPriority w:val="99"/>
    <w:locked/>
    <w:rsid w:val="000076B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A6669"/>
    <w:pPr>
      <w:tabs>
        <w:tab w:val="center" w:pos="4677"/>
        <w:tab w:val="right" w:pos="9355"/>
      </w:tabs>
    </w:pPr>
  </w:style>
  <w:style w:type="character" w:customStyle="1" w:styleId="a8">
    <w:name w:val="Верхний колонтитул Знак"/>
    <w:basedOn w:val="a0"/>
    <w:link w:val="a7"/>
    <w:uiPriority w:val="99"/>
    <w:rsid w:val="00AA666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A6669"/>
    <w:pPr>
      <w:tabs>
        <w:tab w:val="center" w:pos="4677"/>
        <w:tab w:val="right" w:pos="9355"/>
      </w:tabs>
    </w:pPr>
  </w:style>
  <w:style w:type="character" w:customStyle="1" w:styleId="aa">
    <w:name w:val="Нижний колонтитул Знак"/>
    <w:basedOn w:val="a0"/>
    <w:link w:val="a9"/>
    <w:uiPriority w:val="99"/>
    <w:rsid w:val="00AA66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9254">
      <w:bodyDiv w:val="1"/>
      <w:marLeft w:val="0"/>
      <w:marRight w:val="0"/>
      <w:marTop w:val="0"/>
      <w:marBottom w:val="0"/>
      <w:divBdr>
        <w:top w:val="none" w:sz="0" w:space="0" w:color="auto"/>
        <w:left w:val="none" w:sz="0" w:space="0" w:color="auto"/>
        <w:bottom w:val="none" w:sz="0" w:space="0" w:color="auto"/>
        <w:right w:val="none" w:sz="0" w:space="0" w:color="auto"/>
      </w:divBdr>
    </w:div>
    <w:div w:id="20977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olmuminov%20Xusniddin\Desktop\&#1044;&#1054;&#1050;&#1051;&#1040;&#1044;%20&#1071;&#1053;&#1042;&#1040;&#1056;&#1068;-&#1048;&#1070;&#1053;&#1068;%202019%20&#1081;&#1080;&#1083;\&#1103;&#1085;&#1074;&#1072;&#1088;%20&#1076;&#1080;&#1072;&#1075;&#1072;&#1088;&#1072;&#1084;&#1084;%20&#1050;&#1085;&#1080;&#1075;&#107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310_1\reg%20atdel\2.&#1046;&#1040;&#1044;&#1042;&#1040;&#1051;&#1040;&#1056;\2019%20&#1081;\000%20&#1044;&#1054;&#1050;&#1051;&#1040;&#1044;%202019%20&#1049;&#1048;&#1051;%20&#1071;&#1053;&#1042;&#1040;&#1056;&#1068;-&#1052;&#1040;&#1056;&#1058;\&#1103;&#1085;&#1074;&#1072;&#1088;%20&#1076;&#1080;&#1072;&#1075;&#1072;&#1088;&#1072;&#1084;&#1084;%20&#1050;&#1085;&#1080;&#1075;&#107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gistr\Desktop\&#1044;&#1072;&#1082;&#1083;&#1072;&#1076;%2001.07.2019%20&#1088;&#1077;&#1075;&#1080;&#1089;&#1090;&#1088;\&#1103;&#1085;&#1074;&#1072;&#1088;%20&#1076;&#1080;&#1072;&#1075;&#1072;&#1088;&#1072;&#1084;&#1084;%20&#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rAngAx val="1"/>
    </c:view3D>
    <c:floor>
      <c:thickness val="0"/>
    </c:floor>
    <c:sideWall>
      <c:thickness val="0"/>
      <c:spPr>
        <a:ln w="25400">
          <a:noFill/>
        </a:ln>
      </c:spPr>
    </c:sideWall>
    <c:backWall>
      <c:thickness val="0"/>
    </c:backWall>
    <c:plotArea>
      <c:layout>
        <c:manualLayout>
          <c:layoutTarget val="inner"/>
          <c:xMode val="edge"/>
          <c:yMode val="edge"/>
          <c:x val="2.3817248563932449E-2"/>
          <c:y val="3.2023297005879699E-2"/>
          <c:w val="0.96507170420566268"/>
          <c:h val="0.81713117724730278"/>
        </c:manualLayout>
      </c:layout>
      <c:bar3DChart>
        <c:barDir val="col"/>
        <c:grouping val="clustered"/>
        <c:varyColors val="0"/>
        <c:ser>
          <c:idx val="0"/>
          <c:order val="0"/>
          <c:tx>
            <c:strRef>
              <c:f>'8 диаграм '!$B$7</c:f>
              <c:strCache>
                <c:ptCount val="1"/>
                <c:pt idx="0">
                  <c:v>Рўйхатдан ўтган</c:v>
                </c:pt>
              </c:strCache>
            </c:strRef>
          </c:tx>
          <c:spPr>
            <a:solidFill>
              <a:schemeClr val="accent2">
                <a:lumMod val="40000"/>
                <a:lumOff val="60000"/>
              </a:schemeClr>
            </a:solidFill>
            <a:effectLst>
              <a:outerShdw blurRad="50800" dist="38100" algn="l" rotWithShape="0">
                <a:prstClr val="black">
                  <a:alpha val="40000"/>
                </a:prstClr>
              </a:outerShdw>
            </a:effectLst>
            <a:scene3d>
              <a:camera prst="orthographicFront"/>
              <a:lightRig rig="threePt" dir="t"/>
            </a:scene3d>
            <a:sp3d prstMaterial="matte"/>
          </c:spPr>
          <c:invertIfNegative val="0"/>
          <c:dLbls>
            <c:dLbl>
              <c:idx val="0"/>
              <c:layout>
                <c:manualLayout>
                  <c:x val="0"/>
                  <c:y val="-1.93120157740139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57493543653519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 диаграм '!$D$6:$E$6</c:f>
              <c:strCache>
                <c:ptCount val="2"/>
                <c:pt idx="0">
                  <c:v>01.07.2018 й.</c:v>
                </c:pt>
                <c:pt idx="1">
                  <c:v>01.07.2019 й.</c:v>
                </c:pt>
              </c:strCache>
            </c:strRef>
          </c:cat>
          <c:val>
            <c:numRef>
              <c:f>'8 диаграм '!$D$7:$E$7</c:f>
              <c:numCache>
                <c:formatCode>0</c:formatCode>
                <c:ptCount val="2"/>
                <c:pt idx="0">
                  <c:v>2063</c:v>
                </c:pt>
                <c:pt idx="1">
                  <c:v>3797</c:v>
                </c:pt>
              </c:numCache>
            </c:numRef>
          </c:val>
        </c:ser>
        <c:ser>
          <c:idx val="1"/>
          <c:order val="1"/>
          <c:tx>
            <c:strRef>
              <c:f>'8 диаграм '!$B$8</c:f>
              <c:strCache>
                <c:ptCount val="1"/>
                <c:pt idx="0">
                  <c:v>Фаолият кўрсатаётган</c:v>
                </c:pt>
              </c:strCache>
            </c:strRef>
          </c:tx>
          <c:spPr>
            <a:solidFill>
              <a:schemeClr val="accent3">
                <a:lumMod val="60000"/>
                <a:lumOff val="40000"/>
              </a:schemeClr>
            </a:solidFill>
            <a:effectLst>
              <a:outerShdw blurRad="254000" dist="38100" dir="16200000" rotWithShape="0">
                <a:prstClr val="black">
                  <a:alpha val="40000"/>
                </a:prstClr>
              </a:outerShdw>
            </a:effectLst>
          </c:spPr>
          <c:invertIfNegative val="0"/>
          <c:dLbls>
            <c:dLbl>
              <c:idx val="0"/>
              <c:layout>
                <c:manualLayout>
                  <c:x val="0"/>
                  <c:y val="-1.93120157740139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968023661020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 диаграм '!$D$6:$E$6</c:f>
              <c:strCache>
                <c:ptCount val="2"/>
                <c:pt idx="0">
                  <c:v>01.07.2018 й.</c:v>
                </c:pt>
                <c:pt idx="1">
                  <c:v>01.07.2019 й.</c:v>
                </c:pt>
              </c:strCache>
            </c:strRef>
          </c:cat>
          <c:val>
            <c:numRef>
              <c:f>'8 диаграм '!$D$8:$E$8</c:f>
              <c:numCache>
                <c:formatCode>0</c:formatCode>
                <c:ptCount val="2"/>
                <c:pt idx="0">
                  <c:v>1986</c:v>
                </c:pt>
                <c:pt idx="1">
                  <c:v>3637</c:v>
                </c:pt>
              </c:numCache>
            </c:numRef>
          </c:val>
        </c:ser>
        <c:ser>
          <c:idx val="2"/>
          <c:order val="2"/>
          <c:tx>
            <c:strRef>
              <c:f>'8 диаграм '!$B$9</c:f>
              <c:strCache>
                <c:ptCount val="1"/>
                <c:pt idx="0">
                  <c:v>Янги ташкил этилган</c:v>
                </c:pt>
              </c:strCache>
            </c:strRef>
          </c:tx>
          <c:spPr>
            <a:solidFill>
              <a:schemeClr val="accent5">
                <a:lumMod val="40000"/>
                <a:lumOff val="60000"/>
              </a:schemeClr>
            </a:solidFill>
          </c:spPr>
          <c:invertIfNegative val="0"/>
          <c:dLbls>
            <c:dLbl>
              <c:idx val="0"/>
              <c:layout>
                <c:manualLayout>
                  <c:x val="0"/>
                  <c:y val="-2.8968023661020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82800394350348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 диаграм '!$D$6:$E$6</c:f>
              <c:strCache>
                <c:ptCount val="2"/>
                <c:pt idx="0">
                  <c:v>01.07.2018 й.</c:v>
                </c:pt>
                <c:pt idx="1">
                  <c:v>01.07.2019 й.</c:v>
                </c:pt>
              </c:strCache>
            </c:strRef>
          </c:cat>
          <c:val>
            <c:numRef>
              <c:f>'8 диаграм '!$D$9:$E$9</c:f>
              <c:numCache>
                <c:formatCode>0</c:formatCode>
                <c:ptCount val="2"/>
                <c:pt idx="0">
                  <c:v>436</c:v>
                </c:pt>
                <c:pt idx="1">
                  <c:v>1261</c:v>
                </c:pt>
              </c:numCache>
            </c:numRef>
          </c:val>
        </c:ser>
        <c:dLbls>
          <c:showLegendKey val="0"/>
          <c:showVal val="1"/>
          <c:showCatName val="0"/>
          <c:showSerName val="0"/>
          <c:showPercent val="0"/>
          <c:showBubbleSize val="0"/>
        </c:dLbls>
        <c:gapWidth val="10"/>
        <c:gapDepth val="139"/>
        <c:shape val="cylinder"/>
        <c:axId val="293250328"/>
        <c:axId val="293250720"/>
        <c:axId val="0"/>
      </c:bar3DChart>
      <c:catAx>
        <c:axId val="293250328"/>
        <c:scaling>
          <c:orientation val="minMax"/>
        </c:scaling>
        <c:delete val="0"/>
        <c:axPos val="b"/>
        <c:numFmt formatCode="General" sourceLinked="0"/>
        <c:majorTickMark val="out"/>
        <c:minorTickMark val="none"/>
        <c:tickLblPos val="nextTo"/>
        <c:txPr>
          <a:bodyPr/>
          <a:lstStyle/>
          <a:p>
            <a:pPr>
              <a:defRPr sz="1200" b="1" baseline="0">
                <a:latin typeface="Times New Roman" pitchFamily="18" charset="0"/>
                <a:cs typeface="Times New Roman" pitchFamily="18" charset="0"/>
              </a:defRPr>
            </a:pPr>
            <a:endParaRPr lang="ru-RU"/>
          </a:p>
        </c:txPr>
        <c:crossAx val="293250720"/>
        <c:crosses val="autoZero"/>
        <c:auto val="1"/>
        <c:lblAlgn val="ctr"/>
        <c:lblOffset val="100"/>
        <c:noMultiLvlLbl val="0"/>
      </c:catAx>
      <c:valAx>
        <c:axId val="293250720"/>
        <c:scaling>
          <c:orientation val="minMax"/>
        </c:scaling>
        <c:delete val="1"/>
        <c:axPos val="l"/>
        <c:numFmt formatCode="0" sourceLinked="1"/>
        <c:majorTickMark val="out"/>
        <c:minorTickMark val="none"/>
        <c:tickLblPos val="none"/>
        <c:crossAx val="293250328"/>
        <c:crosses val="autoZero"/>
        <c:crossBetween val="between"/>
      </c:valAx>
    </c:plotArea>
    <c:legend>
      <c:legendPos val="b"/>
      <c:overlay val="0"/>
      <c:txPr>
        <a:bodyPr/>
        <a:lstStyle/>
        <a:p>
          <a:pPr>
            <a:defRPr sz="1200" b="1">
              <a:latin typeface="Times New Roman" pitchFamily="18" charset="0"/>
              <a:ea typeface="Arial Unicode MS" pitchFamily="34" charset="-128"/>
              <a:cs typeface="Times New Roman" pitchFamily="18" charset="0"/>
            </a:defRPr>
          </a:pPr>
          <a:endParaRPr lang="ru-RU"/>
        </a:p>
      </c:txPr>
    </c:legend>
    <c:plotVisOnly val="1"/>
    <c:dispBlanksAs val="gap"/>
    <c:showDLblsOverMax val="0"/>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noFill/>
    </a:ln>
    <a:scene3d>
      <a:camera prst="orthographicFront"/>
      <a:lightRig rig="threePt" dir="t"/>
    </a:scene3d>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92D05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'9-диаграма'!$B$5:$B$20</c:f>
              <c:strCache>
                <c:ptCount val="16"/>
                <c:pt idx="0">
                  <c:v>Самарқанд ш</c:v>
                </c:pt>
                <c:pt idx="1">
                  <c:v>Иштихон</c:v>
                </c:pt>
                <c:pt idx="2">
                  <c:v>Пастдарғом</c:v>
                </c:pt>
                <c:pt idx="3">
                  <c:v>Самарқанд</c:v>
                </c:pt>
                <c:pt idx="4">
                  <c:v>Пайариқ</c:v>
                </c:pt>
                <c:pt idx="5">
                  <c:v>Тайлоқ</c:v>
                </c:pt>
                <c:pt idx="6">
                  <c:v>Ургут</c:v>
                </c:pt>
                <c:pt idx="7">
                  <c:v>Жомбой</c:v>
                </c:pt>
                <c:pt idx="8">
                  <c:v>Оқдарё</c:v>
                </c:pt>
                <c:pt idx="9">
                  <c:v>Булунғур</c:v>
                </c:pt>
                <c:pt idx="10">
                  <c:v>Нарпай</c:v>
                </c:pt>
                <c:pt idx="11">
                  <c:v>Каттақўрғон  </c:v>
                </c:pt>
                <c:pt idx="12">
                  <c:v>Нуробод</c:v>
                </c:pt>
                <c:pt idx="13">
                  <c:v>Қўшработ</c:v>
                </c:pt>
                <c:pt idx="14">
                  <c:v>Каттақўрғон ш</c:v>
                </c:pt>
                <c:pt idx="15">
                  <c:v>Пахтачи</c:v>
                </c:pt>
              </c:strCache>
            </c:strRef>
          </c:cat>
          <c:val>
            <c:numRef>
              <c:f>'9-диаграма'!$C$5:$C$20</c:f>
              <c:numCache>
                <c:formatCode>General</c:formatCode>
                <c:ptCount val="16"/>
                <c:pt idx="0">
                  <c:v>1025</c:v>
                </c:pt>
                <c:pt idx="1">
                  <c:v>340</c:v>
                </c:pt>
                <c:pt idx="2">
                  <c:v>332</c:v>
                </c:pt>
                <c:pt idx="3">
                  <c:v>316</c:v>
                </c:pt>
                <c:pt idx="4">
                  <c:v>290</c:v>
                </c:pt>
                <c:pt idx="5">
                  <c:v>216</c:v>
                </c:pt>
                <c:pt idx="6">
                  <c:v>180</c:v>
                </c:pt>
                <c:pt idx="7">
                  <c:v>112</c:v>
                </c:pt>
                <c:pt idx="8">
                  <c:v>97</c:v>
                </c:pt>
                <c:pt idx="9">
                  <c:v>87</c:v>
                </c:pt>
                <c:pt idx="10">
                  <c:v>62</c:v>
                </c:pt>
                <c:pt idx="11">
                  <c:v>46</c:v>
                </c:pt>
                <c:pt idx="12">
                  <c:v>31</c:v>
                </c:pt>
                <c:pt idx="13">
                  <c:v>25</c:v>
                </c:pt>
                <c:pt idx="14">
                  <c:v>25</c:v>
                </c:pt>
                <c:pt idx="15">
                  <c:v>20</c:v>
                </c:pt>
              </c:numCache>
            </c:numRef>
          </c:val>
        </c:ser>
        <c:dLbls>
          <c:showLegendKey val="0"/>
          <c:showVal val="0"/>
          <c:showCatName val="0"/>
          <c:showSerName val="0"/>
          <c:showPercent val="0"/>
          <c:showBubbleSize val="0"/>
        </c:dLbls>
        <c:gapWidth val="54"/>
        <c:shape val="cylinder"/>
        <c:axId val="159152248"/>
        <c:axId val="159152640"/>
        <c:axId val="0"/>
      </c:bar3DChart>
      <c:catAx>
        <c:axId val="15915224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59152640"/>
        <c:crosses val="autoZero"/>
        <c:auto val="1"/>
        <c:lblAlgn val="ctr"/>
        <c:lblOffset val="100"/>
        <c:noMultiLvlLbl val="0"/>
      </c:catAx>
      <c:valAx>
        <c:axId val="15915264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9152248"/>
        <c:crosses val="autoZero"/>
        <c:crossBetween val="between"/>
      </c:valAx>
      <c:spPr>
        <a:solidFill>
          <a:schemeClr val="accent1">
            <a:lumMod val="60000"/>
            <a:lumOff val="40000"/>
          </a:schemeClr>
        </a:solidFill>
      </c:spPr>
    </c:plotArea>
    <c:plotVisOnly val="1"/>
    <c:dispBlanksAs val="gap"/>
    <c:showDLblsOverMax val="0"/>
  </c:chart>
  <c:spPr>
    <a:solidFill>
      <a:schemeClr val="accent1">
        <a:lumMod val="60000"/>
        <a:lumOff val="4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727565496030788"/>
          <c:y val="0.17471795282171143"/>
          <c:w val="0.47066421911985951"/>
          <c:h val="0.63403513285283775"/>
        </c:manualLayout>
      </c:layout>
      <c:doughnutChart>
        <c:varyColors val="1"/>
        <c:ser>
          <c:idx val="0"/>
          <c:order val="0"/>
          <c:explosion val="2"/>
          <c:dLbls>
            <c:dLbl>
              <c:idx val="0"/>
              <c:layout>
                <c:manualLayout>
                  <c:x val="3.2729194223726742E-2"/>
                  <c:y val="-8.6449539072268169E-2"/>
                </c:manualLayout>
              </c:layout>
              <c:tx>
                <c:rich>
                  <a:bodyPr/>
                  <a:lstStyle/>
                  <a:p>
                    <a:r>
                      <a:rPr lang="en-US" sz="1200" b="1">
                        <a:latin typeface="Times New Roman" pitchFamily="18" charset="0"/>
                        <a:cs typeface="Times New Roman" pitchFamily="18" charset="0"/>
                      </a:rPr>
                      <a:t>9</a:t>
                    </a:r>
                    <a:r>
                      <a:rPr lang="en-US"/>
                      <a:t>,7 %</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8.0217144645387137E-2"/>
                  <c:y val="0.10514453793052812"/>
                </c:manualLayout>
              </c:layout>
              <c:tx>
                <c:rich>
                  <a:bodyPr/>
                  <a:lstStyle/>
                  <a:p>
                    <a:r>
                      <a:rPr lang="en-US" sz="1200" b="1">
                        <a:latin typeface="Times New Roman" pitchFamily="18" charset="0"/>
                        <a:cs typeface="Times New Roman" pitchFamily="18" charset="0"/>
                      </a:rPr>
                      <a:t>3</a:t>
                    </a:r>
                    <a:r>
                      <a:rPr lang="en-US"/>
                      <a:t>3,9 %</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6.0609485927409314E-2"/>
                  <c:y val="7.2540427984932584E-2"/>
                </c:manualLayout>
              </c:layout>
              <c:tx>
                <c:rich>
                  <a:bodyPr/>
                  <a:lstStyle/>
                  <a:p>
                    <a:r>
                      <a:rPr lang="en-US" sz="1200" b="1">
                        <a:latin typeface="Times New Roman" pitchFamily="18" charset="0"/>
                        <a:cs typeface="Times New Roman" pitchFamily="18" charset="0"/>
                      </a:rPr>
                      <a:t>1</a:t>
                    </a:r>
                    <a:r>
                      <a:rPr lang="en-US"/>
                      <a:t>,1 %</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9893018042090042E-2"/>
                  <c:y val="7.3476335636508294E-2"/>
                </c:manualLayout>
              </c:layout>
              <c:tx>
                <c:rich>
                  <a:bodyPr/>
                  <a:lstStyle/>
                  <a:p>
                    <a:r>
                      <a:rPr lang="en-US" sz="1200" b="1">
                        <a:latin typeface="Times New Roman" pitchFamily="18" charset="0"/>
                        <a:cs typeface="Times New Roman" pitchFamily="18" charset="0"/>
                      </a:rPr>
                      <a:t>1</a:t>
                    </a:r>
                    <a:r>
                      <a:rPr lang="en-US"/>
                      <a:t>8,0 %</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9.1619718129218E-2"/>
                  <c:y val="5.6505763792302266E-2"/>
                </c:manualLayout>
              </c:layout>
              <c:tx>
                <c:rich>
                  <a:bodyPr/>
                  <a:lstStyle/>
                  <a:p>
                    <a:r>
                      <a:rPr lang="en-US" sz="1200" b="1">
                        <a:latin typeface="Times New Roman" pitchFamily="18" charset="0"/>
                        <a:cs typeface="Times New Roman" pitchFamily="18" charset="0"/>
                      </a:rPr>
                      <a:t>0</a:t>
                    </a:r>
                    <a:r>
                      <a:rPr lang="en-US"/>
                      <a:t>,9 %</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12243224964977539"/>
                  <c:y val="-5.1948102655451356E-2"/>
                </c:manualLayout>
              </c:layout>
              <c:tx>
                <c:rich>
                  <a:bodyPr/>
                  <a:lstStyle/>
                  <a:p>
                    <a:r>
                      <a:rPr lang="en-US" sz="1200" b="1">
                        <a:latin typeface="Times New Roman" pitchFamily="18" charset="0"/>
                        <a:cs typeface="Times New Roman" pitchFamily="18" charset="0"/>
                      </a:rPr>
                      <a:t>2</a:t>
                    </a:r>
                    <a:r>
                      <a:rPr lang="en-US"/>
                      <a:t>6,7 %</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7.4625900886072599E-2"/>
                  <c:y val="-6.51195952969882E-2"/>
                </c:manualLayout>
              </c:layout>
              <c:tx>
                <c:rich>
                  <a:bodyPr/>
                  <a:lstStyle/>
                  <a:p>
                    <a:r>
                      <a:rPr lang="en-US" sz="1200" b="1">
                        <a:latin typeface="Times New Roman" pitchFamily="18" charset="0"/>
                        <a:cs typeface="Times New Roman" pitchFamily="18" charset="0"/>
                      </a:rPr>
                      <a:t>1</a:t>
                    </a:r>
                    <a:r>
                      <a:rPr lang="en-US"/>
                      <a:t>,6 %</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3.616540819790294E-2"/>
                  <c:y val="-9.4121394935144528E-2"/>
                </c:manualLayout>
              </c:layout>
              <c:tx>
                <c:rich>
                  <a:bodyPr/>
                  <a:lstStyle/>
                  <a:p>
                    <a:r>
                      <a:rPr lang="en-US" sz="1200" b="1">
                        <a:latin typeface="Times New Roman" pitchFamily="18" charset="0"/>
                        <a:cs typeface="Times New Roman" pitchFamily="18" charset="0"/>
                      </a:rPr>
                      <a:t>0</a:t>
                    </a:r>
                    <a:r>
                      <a:rPr lang="en-US"/>
                      <a:t>,4 %</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6.5770989181244514E-3"/>
                  <c:y val="-8.9655833174982991E-2"/>
                </c:manualLayout>
              </c:layout>
              <c:tx>
                <c:rich>
                  <a:bodyPr/>
                  <a:lstStyle/>
                  <a:p>
                    <a:r>
                      <a:rPr lang="en-US" sz="1200" b="1">
                        <a:latin typeface="Times New Roman" pitchFamily="18" charset="0"/>
                        <a:cs typeface="Times New Roman" pitchFamily="18" charset="0"/>
                      </a:rPr>
                      <a:t>7</a:t>
                    </a:r>
                    <a:r>
                      <a:rPr lang="en-US"/>
                      <a:t>,7 %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'10-диаграма'!$B$5:$B$13</c:f>
              <c:strCache>
                <c:ptCount val="9"/>
                <c:pt idx="0">
                  <c:v>Қишлоқ, ўрмон ва балиқ хўжалиги</c:v>
                </c:pt>
                <c:pt idx="1">
                  <c:v>Саноат </c:v>
                </c:pt>
                <c:pt idx="2">
                  <c:v>Қурилиш</c:v>
                </c:pt>
                <c:pt idx="3">
                  <c:v>Савдо</c:v>
                </c:pt>
                <c:pt idx="4">
                  <c:v>Ташиш ва сақлаш</c:v>
                </c:pt>
                <c:pt idx="5">
                  <c:v>Яшаш ва овқатланиш бўйича хизматлар</c:v>
                </c:pt>
                <c:pt idx="6">
                  <c:v>Ахборот ва алоқа</c:v>
                </c:pt>
                <c:pt idx="7">
                  <c:v>Соғлиқни сақлаш ва ижтимоий хизматлар кўрсатиш</c:v>
                </c:pt>
                <c:pt idx="8">
                  <c:v>бошка соҳаларда</c:v>
                </c:pt>
              </c:strCache>
            </c:strRef>
          </c:cat>
          <c:val>
            <c:numRef>
              <c:f>'10-диаграма'!$C$5:$C$13</c:f>
              <c:numCache>
                <c:formatCode>0.0</c:formatCode>
                <c:ptCount val="9"/>
                <c:pt idx="0">
                  <c:v>8.1935661259279708</c:v>
                </c:pt>
                <c:pt idx="1">
                  <c:v>32.581798185316885</c:v>
                </c:pt>
                <c:pt idx="2">
                  <c:v>0.87984602694529312</c:v>
                </c:pt>
                <c:pt idx="3">
                  <c:v>20.978828704976628</c:v>
                </c:pt>
                <c:pt idx="4">
                  <c:v>0.79736046191915644</c:v>
                </c:pt>
                <c:pt idx="5">
                  <c:v>27.742645037118489</c:v>
                </c:pt>
                <c:pt idx="6">
                  <c:v>1.0173219686554758</c:v>
                </c:pt>
                <c:pt idx="7">
                  <c:v>0.35743744844651704</c:v>
                </c:pt>
                <c:pt idx="8">
                  <c:v>7.4511960406928814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943255559312763"/>
          <c:y val="7.4941673371840392E-2"/>
          <c:w val="0.3282975057565658"/>
          <c:h val="0.9032652213298136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Murodkasimov Botir</dc:creator>
  <cp:keywords/>
  <dc:description/>
  <cp:lastModifiedBy>Ilyos</cp:lastModifiedBy>
  <cp:revision>6</cp:revision>
  <cp:lastPrinted>2019-07-27T04:56:00Z</cp:lastPrinted>
  <dcterms:created xsi:type="dcterms:W3CDTF">2019-07-26T14:34:00Z</dcterms:created>
  <dcterms:modified xsi:type="dcterms:W3CDTF">2019-07-27T04:56:00Z</dcterms:modified>
</cp:coreProperties>
</file>