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924" w:rsidRPr="000E0AB0" w:rsidRDefault="00705924" w:rsidP="00705924">
      <w:pPr>
        <w:pStyle w:val="2"/>
        <w:widowControl/>
        <w:spacing w:line="312" w:lineRule="auto"/>
        <w:ind w:firstLine="0"/>
        <w:jc w:val="center"/>
        <w:rPr>
          <w:b/>
          <w:lang w:val="uz-Cyrl-UZ"/>
        </w:rPr>
      </w:pPr>
      <w:r w:rsidRPr="000E0AB0">
        <w:rPr>
          <w:b/>
          <w:lang w:val="uz-Cyrl-UZ"/>
        </w:rPr>
        <w:t xml:space="preserve">Бандликка кўмаклашиш марказлари орқали ишга жойлаштирилган фуқаролар сони </w:t>
      </w:r>
      <w:r w:rsidRPr="000E0AB0">
        <w:rPr>
          <w:i/>
          <w:sz w:val="22"/>
          <w:lang w:val="uz-Cyrl-UZ"/>
        </w:rPr>
        <w:t>(киши)</w:t>
      </w:r>
    </w:p>
    <w:p w:rsidR="00705924" w:rsidRPr="000E0AB0" w:rsidRDefault="00705924" w:rsidP="00705924">
      <w:pPr>
        <w:spacing w:before="120" w:line="312" w:lineRule="auto"/>
        <w:jc w:val="center"/>
        <w:rPr>
          <w:b/>
          <w:sz w:val="24"/>
          <w:szCs w:val="24"/>
          <w:lang w:val="uz-Cyrl-UZ"/>
        </w:rPr>
      </w:pPr>
      <w:r w:rsidRPr="000E0AB0">
        <w:rPr>
          <w:b/>
          <w:noProof/>
          <w:sz w:val="24"/>
          <w:szCs w:val="24"/>
        </w:rPr>
        <w:drawing>
          <wp:inline distT="0" distB="0" distL="0" distR="0" wp14:anchorId="7AA9A889" wp14:editId="59B37FB6">
            <wp:extent cx="5849620" cy="5080128"/>
            <wp:effectExtent l="19050" t="0" r="0" b="0"/>
            <wp:docPr id="39" name="Объект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sidR="00705924" w:rsidRPr="000E0AB0" w:rsidRDefault="00705924" w:rsidP="00705924">
      <w:pPr>
        <w:pStyle w:val="2"/>
        <w:widowControl/>
        <w:spacing w:after="0" w:line="312" w:lineRule="auto"/>
        <w:rPr>
          <w:lang w:val="uz-Cyrl-UZ"/>
        </w:rPr>
      </w:pPr>
      <w:r w:rsidRPr="000E0AB0">
        <w:rPr>
          <w:lang w:val="uz-Cyrl-UZ"/>
        </w:rPr>
        <w:t xml:space="preserve">Бандликка кўмаклашиш марказларига мурожаат қилган фуқаролардан </w:t>
      </w:r>
      <w:r w:rsidRPr="000E0AB0">
        <w:rPr>
          <w:lang w:val="uz-Cyrl-UZ"/>
        </w:rPr>
        <w:br/>
        <w:t>17 063 нафари (барча мурожаат қилганларнинг 52,1 фоизи) ишга жойлаштирилди. Айниқса ушбу кўрсаткич, Самарқанд шаҳарида (мурожаат қилганларнинг 70,3 фоизи), Тайлоқ (60,8 фоиз), Самарқанд (60,7 фоиз), Жомбой ва Пастдарғомда (53,2 фоиз), Булунғур (53,1 фоиз), Пайариқ (51,1 фоиз), Нарпай (102,7 фоиз), Пастдарғом (102,1 фоиз) туманларида мурожаат қилганлар ишга жойлаштирилди.</w:t>
      </w:r>
    </w:p>
    <w:p w:rsidR="001400FA" w:rsidRPr="00705924" w:rsidRDefault="001400FA">
      <w:pPr>
        <w:rPr>
          <w:lang w:val="uz-Cyrl-UZ"/>
        </w:rPr>
      </w:pPr>
      <w:bookmarkStart w:id="0" w:name="_GoBack"/>
      <w:bookmarkEnd w:id="0"/>
    </w:p>
    <w:sectPr w:rsidR="001400FA" w:rsidRPr="00705924" w:rsidSect="00F40C6D">
      <w:pgSz w:w="11909" w:h="16838" w:code="9"/>
      <w:pgMar w:top="1134" w:right="1134" w:bottom="1134" w:left="1701"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gutterAtTop/>
  <w:proofState w:spelling="clean" w:grammar="clean"/>
  <w:defaultTabStop w:val="708"/>
  <w:evenAndOddHeaders/>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924"/>
    <w:rsid w:val="000D5515"/>
    <w:rsid w:val="001400FA"/>
    <w:rsid w:val="00705924"/>
    <w:rsid w:val="00C631CC"/>
    <w:rsid w:val="00F40C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619EC2-12DE-4B6F-9728-9D80A9AD0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592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1"/>
    <w:uiPriority w:val="99"/>
    <w:rsid w:val="00705924"/>
    <w:pPr>
      <w:widowControl w:val="0"/>
      <w:spacing w:after="120"/>
      <w:ind w:firstLine="567"/>
      <w:jc w:val="both"/>
    </w:pPr>
    <w:rPr>
      <w:sz w:val="24"/>
      <w:szCs w:val="24"/>
    </w:rPr>
  </w:style>
  <w:style w:type="character" w:customStyle="1" w:styleId="20">
    <w:name w:val="Основной текст с отступом 2 Знак"/>
    <w:basedOn w:val="a0"/>
    <w:uiPriority w:val="99"/>
    <w:semiHidden/>
    <w:rsid w:val="00705924"/>
    <w:rPr>
      <w:rFonts w:ascii="Times New Roman" w:eastAsia="Times New Roman" w:hAnsi="Times New Roman" w:cs="Times New Roman"/>
      <w:sz w:val="20"/>
      <w:szCs w:val="20"/>
      <w:lang w:eastAsia="ru-RU"/>
    </w:rPr>
  </w:style>
  <w:style w:type="character" w:customStyle="1" w:styleId="21">
    <w:name w:val="Основной текст с отступом 2 Знак1"/>
    <w:basedOn w:val="a0"/>
    <w:link w:val="2"/>
    <w:uiPriority w:val="99"/>
    <w:locked/>
    <w:rsid w:val="0070592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9"/>
    </mc:Choice>
    <mc:Fallback>
      <c:style val="39"/>
    </mc:Fallback>
  </mc:AlternateContent>
  <c:chart>
    <c:autoTitleDeleted val="0"/>
    <c:view3D>
      <c:rotX val="35"/>
      <c:rotY val="40"/>
      <c:depthPercent val="100"/>
      <c:rAngAx val="1"/>
    </c:view3D>
    <c:floor>
      <c:thickness val="0"/>
    </c:floor>
    <c:sideWall>
      <c:thickness val="0"/>
    </c:sideWall>
    <c:backWall>
      <c:thickness val="0"/>
    </c:backWall>
    <c:plotArea>
      <c:layout>
        <c:manualLayout>
          <c:layoutTarget val="inner"/>
          <c:xMode val="edge"/>
          <c:yMode val="edge"/>
          <c:x val="6.4975796315660431E-2"/>
          <c:y val="2.476281306935188E-2"/>
          <c:w val="0.91068961449821972"/>
          <c:h val="0.70447949773145169"/>
        </c:manualLayout>
      </c:layout>
      <c:bar3DChart>
        <c:barDir val="col"/>
        <c:grouping val="percentStacked"/>
        <c:varyColors val="0"/>
        <c:ser>
          <c:idx val="0"/>
          <c:order val="0"/>
          <c:tx>
            <c:strRef>
              <c:f>Лист1!$B$1</c:f>
              <c:strCache>
                <c:ptCount val="1"/>
                <c:pt idx="0">
                  <c:v>2019 йил январь-июнь </c:v>
                </c:pt>
              </c:strCache>
            </c:strRef>
          </c:tx>
          <c:invertIfNegative val="0"/>
          <c:dLbls>
            <c:dLbl>
              <c:idx val="0"/>
              <c:layout>
                <c:manualLayout>
                  <c:x val="0"/>
                  <c:y val="-5.3650994662037051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3340466006791967E-3"/>
                  <c:y val="-0.10147943243257801"/>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5.0775463275739684E-3"/>
                  <c:y val="-3.7943761470566252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3.8144653238241937E-4"/>
                  <c:y val="-7.2520440150233539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3.8128275113193452E-4"/>
                  <c:y val="-7.3575996830544013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3.9504037617278605E-4"/>
                  <c:y val="-6.2930717925277532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0"/>
                  <c:y val="-0.10951693097684757"/>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5.3621981409190294E-4"/>
                  <c:y val="-5.4455988970054915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1.6502598798992653E-3"/>
                  <c:y val="-7.4879701271701571E-2"/>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1.3741246915794327E-4"/>
                  <c:y val="-7.9413412869397987E-2"/>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3.7096453235130095E-4"/>
                  <c:y val="-4.1887564918222132E-2"/>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2.5418850075462215E-4"/>
                  <c:y val="-3.940757322448505E-2"/>
                </c:manualLayout>
              </c:layout>
              <c:showLegendKey val="0"/>
              <c:showVal val="1"/>
              <c:showCatName val="0"/>
              <c:showSerName val="0"/>
              <c:showPercent val="0"/>
              <c:showBubbleSize val="0"/>
              <c:extLst>
                <c:ext xmlns:c15="http://schemas.microsoft.com/office/drawing/2012/chart" uri="{CE6537A1-D6FC-4f65-9D91-7224C49458BB}"/>
              </c:extLst>
            </c:dLbl>
            <c:dLbl>
              <c:idx val="12"/>
              <c:layout>
                <c:manualLayout>
                  <c:x val="2.4614684135574843E-3"/>
                  <c:y val="-7.5098873695204335E-2"/>
                </c:manualLayout>
              </c:layout>
              <c:showLegendKey val="0"/>
              <c:showVal val="1"/>
              <c:showCatName val="0"/>
              <c:showSerName val="0"/>
              <c:showPercent val="0"/>
              <c:showBubbleSize val="0"/>
              <c:extLst>
                <c:ext xmlns:c15="http://schemas.microsoft.com/office/drawing/2012/chart" uri="{CE6537A1-D6FC-4f65-9D91-7224C49458BB}"/>
              </c:extLst>
            </c:dLbl>
            <c:dLbl>
              <c:idx val="13"/>
              <c:layout>
                <c:manualLayout>
                  <c:x val="2.3342103819296873E-3"/>
                  <c:y val="-5.9085170589512515E-2"/>
                </c:manualLayout>
              </c:layout>
              <c:showLegendKey val="0"/>
              <c:showVal val="1"/>
              <c:showCatName val="0"/>
              <c:showSerName val="0"/>
              <c:showPercent val="0"/>
              <c:showBubbleSize val="0"/>
              <c:extLst>
                <c:ext xmlns:c15="http://schemas.microsoft.com/office/drawing/2012/chart" uri="{CE6537A1-D6FC-4f65-9D91-7224C49458BB}"/>
              </c:extLst>
            </c:dLbl>
            <c:dLbl>
              <c:idx val="14"/>
              <c:layout>
                <c:manualLayout>
                  <c:x val="2.3240559443995397E-3"/>
                  <c:y val="-5.1575914733754676E-2"/>
                </c:manualLayout>
              </c:layout>
              <c:showLegendKey val="0"/>
              <c:showVal val="1"/>
              <c:showCatName val="0"/>
              <c:showSerName val="0"/>
              <c:showPercent val="0"/>
              <c:showBubbleSize val="0"/>
              <c:extLst>
                <c:ext xmlns:c15="http://schemas.microsoft.com/office/drawing/2012/chart" uri="{CE6537A1-D6FC-4f65-9D91-7224C49458BB}"/>
              </c:extLst>
            </c:dLbl>
            <c:dLbl>
              <c:idx val="15"/>
              <c:layout>
                <c:manualLayout>
                  <c:x val="5.3458200158704194E-4"/>
                  <c:y val="-3.652638455213322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vert="horz"/>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Лист1!$A$2:$A$17</c:f>
              <c:strCache>
                <c:ptCount val="16"/>
                <c:pt idx="0">
                  <c:v>Самарқанд ш.</c:v>
                </c:pt>
                <c:pt idx="1">
                  <c:v>Пасдарғом</c:v>
                </c:pt>
                <c:pt idx="2">
                  <c:v>Ургут</c:v>
                </c:pt>
                <c:pt idx="3">
                  <c:v>Каттақўрғон</c:v>
                </c:pt>
                <c:pt idx="4">
                  <c:v>Пайариқ</c:v>
                </c:pt>
                <c:pt idx="5">
                  <c:v>Жомбой</c:v>
                </c:pt>
                <c:pt idx="6">
                  <c:v>Иштихон</c:v>
                </c:pt>
                <c:pt idx="7">
                  <c:v>Нарпай</c:v>
                </c:pt>
                <c:pt idx="8">
                  <c:v>Булунғур</c:v>
                </c:pt>
                <c:pt idx="9">
                  <c:v>Самарқанд </c:v>
                </c:pt>
                <c:pt idx="10">
                  <c:v>Пахтачи</c:v>
                </c:pt>
                <c:pt idx="11">
                  <c:v>Тайлоқ</c:v>
                </c:pt>
                <c:pt idx="12">
                  <c:v>Оқдарё</c:v>
                </c:pt>
                <c:pt idx="13">
                  <c:v>Нуробод</c:v>
                </c:pt>
                <c:pt idx="14">
                  <c:v>Қўшработ</c:v>
                </c:pt>
                <c:pt idx="15">
                  <c:v>Каттақўрғон ш.</c:v>
                </c:pt>
              </c:strCache>
            </c:strRef>
          </c:cat>
          <c:val>
            <c:numRef>
              <c:f>Лист1!$B$2:$B$17</c:f>
              <c:numCache>
                <c:formatCode>General</c:formatCode>
                <c:ptCount val="16"/>
                <c:pt idx="0">
                  <c:v>4795</c:v>
                </c:pt>
                <c:pt idx="1">
                  <c:v>2199</c:v>
                </c:pt>
                <c:pt idx="2">
                  <c:v>2339</c:v>
                </c:pt>
                <c:pt idx="3">
                  <c:v>2353</c:v>
                </c:pt>
                <c:pt idx="4">
                  <c:v>1886</c:v>
                </c:pt>
                <c:pt idx="5">
                  <c:v>1897</c:v>
                </c:pt>
                <c:pt idx="6">
                  <c:v>1887</c:v>
                </c:pt>
                <c:pt idx="7">
                  <c:v>1627</c:v>
                </c:pt>
                <c:pt idx="8">
                  <c:v>1547</c:v>
                </c:pt>
                <c:pt idx="9">
                  <c:v>1839</c:v>
                </c:pt>
                <c:pt idx="10">
                  <c:v>2023</c:v>
                </c:pt>
                <c:pt idx="11">
                  <c:v>2329</c:v>
                </c:pt>
                <c:pt idx="12">
                  <c:v>1538</c:v>
                </c:pt>
                <c:pt idx="13">
                  <c:v>1396</c:v>
                </c:pt>
                <c:pt idx="14">
                  <c:v>1827</c:v>
                </c:pt>
                <c:pt idx="15">
                  <c:v>1257</c:v>
                </c:pt>
              </c:numCache>
            </c:numRef>
          </c:val>
        </c:ser>
        <c:ser>
          <c:idx val="1"/>
          <c:order val="1"/>
          <c:tx>
            <c:strRef>
              <c:f>Лист1!$C$1</c:f>
              <c:strCache>
                <c:ptCount val="1"/>
                <c:pt idx="0">
                  <c:v>2018  йил январь-июнь</c:v>
                </c:pt>
              </c:strCache>
            </c:strRef>
          </c:tx>
          <c:invertIfNegative val="0"/>
          <c:dLbls>
            <c:dLbl>
              <c:idx val="0"/>
              <c:layout>
                <c:manualLayout>
                  <c:x val="4.2419849494497079E-3"/>
                  <c:y val="0.10762622516598111"/>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4.1421251189230224E-3"/>
                  <c:y val="0.13831656015014651"/>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4.2421559007251794E-3"/>
                  <c:y val="9.4665921803545147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6.2132241068650887E-3"/>
                  <c:y val="9.9550641243685747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2.0710625594615485E-3"/>
                  <c:y val="0.13831656015014651"/>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1.9710682061398863E-3"/>
                  <c:y val="0.11489572703679971"/>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4.1421251189230224E-3"/>
                  <c:y val="0.14308609670704844"/>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4.1421494045767084E-3"/>
                  <c:y val="9.9090022928556953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0"/>
                  <c:y val="6.677351179662247E-2"/>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6.2132241068650887E-3"/>
                  <c:y val="0.11751062177960872"/>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2.0710747022883703E-3"/>
                  <c:y val="0.10943523470274764"/>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4.1419784533012404E-3"/>
                  <c:y val="0.10705045227206871"/>
                </c:manualLayout>
              </c:layout>
              <c:showLegendKey val="0"/>
              <c:showVal val="1"/>
              <c:showCatName val="0"/>
              <c:showSerName val="0"/>
              <c:showPercent val="0"/>
              <c:showBubbleSize val="0"/>
              <c:extLst>
                <c:ext xmlns:c15="http://schemas.microsoft.com/office/drawing/2012/chart" uri="{CE6537A1-D6FC-4f65-9D91-7224C49458BB}"/>
              </c:extLst>
            </c:dLbl>
            <c:dLbl>
              <c:idx val="12"/>
              <c:layout>
                <c:manualLayout>
                  <c:x val="0"/>
                  <c:y val="0.14308609670704844"/>
                </c:manualLayout>
              </c:layout>
              <c:showLegendKey val="0"/>
              <c:showVal val="1"/>
              <c:showCatName val="0"/>
              <c:showSerName val="0"/>
              <c:showPercent val="0"/>
              <c:showBubbleSize val="0"/>
              <c:extLst>
                <c:ext xmlns:c15="http://schemas.microsoft.com/office/drawing/2012/chart" uri="{CE6537A1-D6FC-4f65-9D91-7224C49458BB}"/>
              </c:extLst>
            </c:dLbl>
            <c:dLbl>
              <c:idx val="13"/>
              <c:layout>
                <c:manualLayout>
                  <c:x val="0"/>
                  <c:y val="8.3629585711226945E-2"/>
                </c:manualLayout>
              </c:layout>
              <c:showLegendKey val="0"/>
              <c:showVal val="1"/>
              <c:showCatName val="0"/>
              <c:showSerName val="0"/>
              <c:showPercent val="0"/>
              <c:showBubbleSize val="0"/>
              <c:extLst>
                <c:ext xmlns:c15="http://schemas.microsoft.com/office/drawing/2012/chart" uri="{CE6537A1-D6FC-4f65-9D91-7224C49458BB}"/>
              </c:extLst>
            </c:dLbl>
            <c:dLbl>
              <c:idx val="14"/>
              <c:layout>
                <c:manualLayout>
                  <c:x val="0"/>
                  <c:y val="8.043872122907135E-2"/>
                </c:manualLayout>
              </c:layout>
              <c:showLegendKey val="0"/>
              <c:showVal val="1"/>
              <c:showCatName val="0"/>
              <c:showSerName val="0"/>
              <c:showPercent val="0"/>
              <c:showBubbleSize val="0"/>
              <c:extLst>
                <c:ext xmlns:c15="http://schemas.microsoft.com/office/drawing/2012/chart" uri="{CE6537A1-D6FC-4f65-9D91-7224C49458BB}"/>
              </c:extLst>
            </c:dLbl>
            <c:dLbl>
              <c:idx val="15"/>
              <c:layout>
                <c:manualLayout>
                  <c:x val="0"/>
                  <c:y val="9.147505732139034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Лист1!$A$2:$A$17</c:f>
              <c:strCache>
                <c:ptCount val="16"/>
                <c:pt idx="0">
                  <c:v>Самарқанд ш.</c:v>
                </c:pt>
                <c:pt idx="1">
                  <c:v>Пасдарғом</c:v>
                </c:pt>
                <c:pt idx="2">
                  <c:v>Ургут</c:v>
                </c:pt>
                <c:pt idx="3">
                  <c:v>Каттақўрғон</c:v>
                </c:pt>
                <c:pt idx="4">
                  <c:v>Пайариқ</c:v>
                </c:pt>
                <c:pt idx="5">
                  <c:v>Жомбой</c:v>
                </c:pt>
                <c:pt idx="6">
                  <c:v>Иштихон</c:v>
                </c:pt>
                <c:pt idx="7">
                  <c:v>Нарпай</c:v>
                </c:pt>
                <c:pt idx="8">
                  <c:v>Булунғур</c:v>
                </c:pt>
                <c:pt idx="9">
                  <c:v>Самарқанд </c:v>
                </c:pt>
                <c:pt idx="10">
                  <c:v>Пахтачи</c:v>
                </c:pt>
                <c:pt idx="11">
                  <c:v>Тайлоқ</c:v>
                </c:pt>
                <c:pt idx="12">
                  <c:v>Оқдарё</c:v>
                </c:pt>
                <c:pt idx="13">
                  <c:v>Нуробод</c:v>
                </c:pt>
                <c:pt idx="14">
                  <c:v>Қўшработ</c:v>
                </c:pt>
                <c:pt idx="15">
                  <c:v>Каттақўрғон ш.</c:v>
                </c:pt>
              </c:strCache>
            </c:strRef>
          </c:cat>
          <c:val>
            <c:numRef>
              <c:f>Лист1!$C$2:$C$17</c:f>
              <c:numCache>
                <c:formatCode>General</c:formatCode>
                <c:ptCount val="16"/>
                <c:pt idx="0">
                  <c:v>3374</c:v>
                </c:pt>
                <c:pt idx="1">
                  <c:v>1951</c:v>
                </c:pt>
                <c:pt idx="2">
                  <c:v>1419</c:v>
                </c:pt>
                <c:pt idx="3">
                  <c:v>1626</c:v>
                </c:pt>
                <c:pt idx="4">
                  <c:v>1747</c:v>
                </c:pt>
                <c:pt idx="5">
                  <c:v>1402</c:v>
                </c:pt>
                <c:pt idx="6">
                  <c:v>1677</c:v>
                </c:pt>
                <c:pt idx="7">
                  <c:v>1012</c:v>
                </c:pt>
                <c:pt idx="8">
                  <c:v>1624</c:v>
                </c:pt>
                <c:pt idx="9">
                  <c:v>1460</c:v>
                </c:pt>
                <c:pt idx="10">
                  <c:v>1453</c:v>
                </c:pt>
                <c:pt idx="11">
                  <c:v>1608</c:v>
                </c:pt>
                <c:pt idx="12">
                  <c:v>1414</c:v>
                </c:pt>
                <c:pt idx="13">
                  <c:v>803</c:v>
                </c:pt>
                <c:pt idx="14">
                  <c:v>874</c:v>
                </c:pt>
                <c:pt idx="15">
                  <c:v>811</c:v>
                </c:pt>
              </c:numCache>
            </c:numRef>
          </c:val>
        </c:ser>
        <c:dLbls>
          <c:showLegendKey val="0"/>
          <c:showVal val="0"/>
          <c:showCatName val="0"/>
          <c:showSerName val="0"/>
          <c:showPercent val="0"/>
          <c:showBubbleSize val="0"/>
        </c:dLbls>
        <c:gapWidth val="64"/>
        <c:gapDepth val="45"/>
        <c:shape val="box"/>
        <c:axId val="393029752"/>
        <c:axId val="393030144"/>
        <c:axId val="0"/>
      </c:bar3DChart>
      <c:catAx>
        <c:axId val="393029752"/>
        <c:scaling>
          <c:orientation val="minMax"/>
        </c:scaling>
        <c:delete val="0"/>
        <c:axPos val="b"/>
        <c:numFmt formatCode="General" sourceLinked="1"/>
        <c:majorTickMark val="out"/>
        <c:minorTickMark val="none"/>
        <c:tickLblPos val="nextTo"/>
        <c:txPr>
          <a:bodyPr rot="-5400000" vert="horz"/>
          <a:lstStyle/>
          <a:p>
            <a:pPr>
              <a:defRPr/>
            </a:pPr>
            <a:endParaRPr lang="ru-RU"/>
          </a:p>
        </c:txPr>
        <c:crossAx val="393030144"/>
        <c:crosses val="autoZero"/>
        <c:auto val="1"/>
        <c:lblAlgn val="ctr"/>
        <c:lblOffset val="100"/>
        <c:tickMarkSkip val="5"/>
        <c:noMultiLvlLbl val="0"/>
      </c:catAx>
      <c:valAx>
        <c:axId val="393030144"/>
        <c:scaling>
          <c:orientation val="minMax"/>
        </c:scaling>
        <c:delete val="0"/>
        <c:axPos val="l"/>
        <c:numFmt formatCode="0%" sourceLinked="1"/>
        <c:majorTickMark val="out"/>
        <c:minorTickMark val="none"/>
        <c:tickLblPos val="nextTo"/>
        <c:txPr>
          <a:bodyPr rot="0" vert="horz"/>
          <a:lstStyle/>
          <a:p>
            <a:pPr>
              <a:defRPr/>
            </a:pPr>
            <a:endParaRPr lang="ru-RU"/>
          </a:p>
        </c:txPr>
        <c:crossAx val="393029752"/>
        <c:crosses val="autoZero"/>
        <c:crossBetween val="between"/>
      </c:valAx>
    </c:plotArea>
    <c:legend>
      <c:legendPos val="r"/>
      <c:layout>
        <c:manualLayout>
          <c:xMode val="edge"/>
          <c:yMode val="edge"/>
          <c:x val="0.1926866907088278"/>
          <c:y val="0.92150732377360456"/>
          <c:w val="0.687531497772505"/>
          <c:h val="7.8492707270368112E-2"/>
        </c:manualLayout>
      </c:layout>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Ilyos</dc:creator>
  <cp:keywords/>
  <dc:description/>
  <cp:lastModifiedBy>Ilyos</cp:lastModifiedBy>
  <cp:revision>1</cp:revision>
  <dcterms:created xsi:type="dcterms:W3CDTF">2019-09-04T11:19:00Z</dcterms:created>
  <dcterms:modified xsi:type="dcterms:W3CDTF">2019-09-04T11:19:00Z</dcterms:modified>
</cp:coreProperties>
</file>